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A7081" w14:textId="3E7B858F" w:rsidR="001927FC" w:rsidRDefault="001927FC" w:rsidP="001927FC">
      <w:pPr>
        <w:pStyle w:val="NormalWeb"/>
        <w:numPr>
          <w:ilvl w:val="0"/>
          <w:numId w:val="1"/>
        </w:numPr>
        <w:rPr>
          <w:rFonts w:ascii="TimesNewRomanPSMT" w:hAnsi="TimesNewRomanPSMT"/>
        </w:rPr>
      </w:pPr>
      <w:r>
        <w:rPr>
          <w:rFonts w:ascii="TimesNewRomanPSMT" w:hAnsi="TimesNewRomanPSMT"/>
        </w:rPr>
        <w:t xml:space="preserve">A description of which author(s) handled the data and conducted the analyses. </w:t>
      </w:r>
    </w:p>
    <w:p w14:paraId="23BFA77A" w14:textId="2EF24403" w:rsidR="001927FC" w:rsidRDefault="001927FC" w:rsidP="001927FC">
      <w:pPr>
        <w:pStyle w:val="NormalWeb"/>
        <w:ind w:left="720"/>
        <w:rPr>
          <w:rFonts w:ascii="TimesNewRomanPSMT" w:hAnsi="TimesNewRomanPSMT"/>
        </w:rPr>
      </w:pPr>
      <w:r>
        <w:rPr>
          <w:rFonts w:ascii="TimesNewRomanPSMT" w:hAnsi="TimesNewRomanPSMT"/>
        </w:rPr>
        <w:t>Data handling and programming were primarily performed by Yuxiang Zheng.</w:t>
      </w:r>
    </w:p>
    <w:p w14:paraId="0A2AC6E1" w14:textId="1F27EF53" w:rsidR="001927FC" w:rsidRDefault="001927FC" w:rsidP="001927FC">
      <w:pPr>
        <w:pStyle w:val="NormalWeb"/>
        <w:numPr>
          <w:ilvl w:val="0"/>
          <w:numId w:val="1"/>
        </w:numPr>
        <w:rPr>
          <w:rFonts w:ascii="TimesNewRomanPSMT" w:hAnsi="TimesNewRomanPSMT"/>
        </w:rPr>
      </w:pPr>
      <w:r>
        <w:rPr>
          <w:rFonts w:ascii="TimesNewRomanPSMT" w:hAnsi="TimesNewRomanPSMT"/>
        </w:rPr>
        <w:t xml:space="preserve">A detailed description of how the raw data were obtained or generated, including data sources, the specific date(s) on which data were downloaded or obtained, and the instrument used to generate the data (e.g., for surveys or experiments). We recommend that more than one author </w:t>
      </w:r>
      <w:proofErr w:type="gramStart"/>
      <w:r>
        <w:rPr>
          <w:rFonts w:ascii="TimesNewRomanPSMT" w:hAnsi="TimesNewRomanPSMT"/>
        </w:rPr>
        <w:t>is able to</w:t>
      </w:r>
      <w:proofErr w:type="gramEnd"/>
      <w:r>
        <w:rPr>
          <w:rFonts w:ascii="TimesNewRomanPSMT" w:hAnsi="TimesNewRomanPSMT"/>
        </w:rPr>
        <w:t xml:space="preserve"> vouch for the stated </w:t>
      </w:r>
      <w:r>
        <w:rPr>
          <w:rFonts w:ascii="TimesNewRomanPS" w:hAnsi="TimesNewRomanPS"/>
          <w:i/>
          <w:iCs/>
        </w:rPr>
        <w:t xml:space="preserve">source </w:t>
      </w:r>
      <w:r>
        <w:rPr>
          <w:rFonts w:ascii="TimesNewRomanPSMT" w:hAnsi="TimesNewRomanPSMT"/>
        </w:rPr>
        <w:t xml:space="preserve">of the raw data. </w:t>
      </w:r>
    </w:p>
    <w:p w14:paraId="5A14FA86" w14:textId="1ACF74A5" w:rsidR="001927FC" w:rsidRDefault="001927FC" w:rsidP="001927FC">
      <w:pPr>
        <w:pStyle w:val="NormalWeb"/>
        <w:ind w:left="720"/>
        <w:rPr>
          <w:rFonts w:ascii="TimesNewRomanPSMT" w:hAnsi="TimesNewRomanPSMT"/>
        </w:rPr>
      </w:pPr>
      <w:r>
        <w:rPr>
          <w:rFonts w:ascii="TimesNewRomanPSMT" w:hAnsi="TimesNewRomanPSMT"/>
        </w:rPr>
        <w:t xml:space="preserve">The paper used data collected from various sources. </w:t>
      </w:r>
    </w:p>
    <w:p w14:paraId="23BAA0DB" w14:textId="6174496C" w:rsidR="00266B7E" w:rsidRDefault="00266B7E" w:rsidP="00767AD1">
      <w:pPr>
        <w:pStyle w:val="NormalWeb"/>
        <w:numPr>
          <w:ilvl w:val="0"/>
          <w:numId w:val="2"/>
        </w:numPr>
        <w:rPr>
          <w:rFonts w:ascii="TimesNewRomanPSMT" w:hAnsi="TimesNewRomanPSMT"/>
        </w:rPr>
      </w:pPr>
      <w:r>
        <w:rPr>
          <w:rFonts w:ascii="TimesNewRomanPSMT" w:hAnsi="TimesNewRomanPSMT"/>
        </w:rPr>
        <w:t xml:space="preserve">Financial data: </w:t>
      </w:r>
      <w:r w:rsidR="00676775">
        <w:rPr>
          <w:rFonts w:ascii="TimesNewRomanPSMT" w:hAnsi="TimesNewRomanPSMT"/>
        </w:rPr>
        <w:t>W</w:t>
      </w:r>
      <w:r>
        <w:rPr>
          <w:rFonts w:ascii="TimesNewRomanPSMT" w:hAnsi="TimesNewRomanPSMT"/>
        </w:rPr>
        <w:t xml:space="preserve">e obtained financial information from </w:t>
      </w:r>
      <w:proofErr w:type="spellStart"/>
      <w:r>
        <w:rPr>
          <w:rFonts w:ascii="TimesNewRomanPSMT" w:hAnsi="TimesNewRomanPSMT"/>
        </w:rPr>
        <w:t>Compustat</w:t>
      </w:r>
      <w:proofErr w:type="spellEnd"/>
      <w:r>
        <w:rPr>
          <w:rFonts w:ascii="TimesNewRomanPSMT" w:hAnsi="TimesNewRomanPSMT"/>
        </w:rPr>
        <w:t xml:space="preserve"> (downloaded Oct 2022).</w:t>
      </w:r>
    </w:p>
    <w:p w14:paraId="2B00874D" w14:textId="1B68E674" w:rsidR="00266B7E" w:rsidRDefault="00266B7E" w:rsidP="00767AD1">
      <w:pPr>
        <w:pStyle w:val="NormalWeb"/>
        <w:numPr>
          <w:ilvl w:val="0"/>
          <w:numId w:val="2"/>
        </w:numPr>
        <w:rPr>
          <w:rFonts w:ascii="TimesNewRomanPSMT" w:hAnsi="TimesNewRomanPSMT"/>
        </w:rPr>
      </w:pPr>
      <w:r>
        <w:rPr>
          <w:rFonts w:ascii="TimesNewRomanPSMT" w:hAnsi="TimesNewRomanPSMT"/>
        </w:rPr>
        <w:t xml:space="preserve">Corporate scientific publication data: </w:t>
      </w:r>
      <w:r w:rsidR="00676775">
        <w:rPr>
          <w:rFonts w:ascii="TimesNewRomanPSMT" w:hAnsi="TimesNewRomanPSMT"/>
        </w:rPr>
        <w:t>C</w:t>
      </w:r>
      <w:r>
        <w:rPr>
          <w:rFonts w:ascii="TimesNewRomanPSMT" w:hAnsi="TimesNewRomanPSMT"/>
        </w:rPr>
        <w:t xml:space="preserve">orporate scientific publication data is shared by Arora, </w:t>
      </w:r>
      <w:proofErr w:type="spellStart"/>
      <w:r>
        <w:rPr>
          <w:rFonts w:ascii="TimesNewRomanPSMT" w:hAnsi="TimesNewRomanPSMT"/>
        </w:rPr>
        <w:t>Belenzon</w:t>
      </w:r>
      <w:proofErr w:type="spellEnd"/>
      <w:r>
        <w:rPr>
          <w:rFonts w:ascii="TimesNewRomanPSMT" w:hAnsi="TimesNewRomanPSMT"/>
        </w:rPr>
        <w:t xml:space="preserve">, and Sheer (2021) and is available from Lia Sheer’s website: </w:t>
      </w:r>
      <w:hyperlink r:id="rId5" w:history="1">
        <w:r w:rsidRPr="00034359">
          <w:rPr>
            <w:rStyle w:val="Hyperlink"/>
            <w:rFonts w:ascii="TimesNewRomanPSMT" w:hAnsi="TimesNewRomanPSMT"/>
          </w:rPr>
          <w:t>https://www.liasheer.com</w:t>
        </w:r>
      </w:hyperlink>
      <w:r>
        <w:rPr>
          <w:rFonts w:ascii="TimesNewRomanPSMT" w:hAnsi="TimesNewRomanPSMT"/>
        </w:rPr>
        <w:t>. (downloaded Oct 202</w:t>
      </w:r>
      <w:r w:rsidR="00F81688">
        <w:rPr>
          <w:rFonts w:ascii="TimesNewRomanPSMT" w:hAnsi="TimesNewRomanPSMT"/>
        </w:rPr>
        <w:t>2</w:t>
      </w:r>
      <w:r>
        <w:rPr>
          <w:rFonts w:ascii="TimesNewRomanPSMT" w:hAnsi="TimesNewRomanPSMT"/>
        </w:rPr>
        <w:t>)</w:t>
      </w:r>
      <w:r w:rsidR="00A04A90">
        <w:rPr>
          <w:rFonts w:ascii="TimesNewRomanPSMT" w:hAnsi="TimesNewRomanPSMT"/>
        </w:rPr>
        <w:t xml:space="preserve">. We supplement this data source with information on author affiliation and scientific publication fields from </w:t>
      </w:r>
      <w:proofErr w:type="spellStart"/>
      <w:r w:rsidR="00A04A90">
        <w:rPr>
          <w:rFonts w:ascii="TimesNewRomanPSMT" w:hAnsi="TimesNewRomanPSMT"/>
        </w:rPr>
        <w:t>OpenAlex</w:t>
      </w:r>
      <w:proofErr w:type="spellEnd"/>
      <w:r w:rsidR="00891069">
        <w:rPr>
          <w:rFonts w:ascii="TimesNewRomanPSMT" w:hAnsi="TimesNewRomanPSMT"/>
        </w:rPr>
        <w:t xml:space="preserve">, which is available from </w:t>
      </w:r>
      <w:hyperlink r:id="rId6" w:history="1">
        <w:r w:rsidR="00891069" w:rsidRPr="00285002">
          <w:rPr>
            <w:rStyle w:val="Hyperlink"/>
            <w:rFonts w:ascii="TimesNewRomanPSMT" w:hAnsi="TimesNewRomanPSMT"/>
          </w:rPr>
          <w:t>https://openalex.org</w:t>
        </w:r>
      </w:hyperlink>
      <w:r w:rsidR="00891069">
        <w:rPr>
          <w:rFonts w:ascii="TimesNewRomanPSMT" w:hAnsi="TimesNewRomanPSMT"/>
        </w:rPr>
        <w:t xml:space="preserve"> (downloaded Aug 2023).</w:t>
      </w:r>
    </w:p>
    <w:p w14:paraId="6B3AC1F1" w14:textId="19CD2B5C" w:rsidR="001D4C7A" w:rsidRDefault="00266B7E" w:rsidP="00026759">
      <w:pPr>
        <w:pStyle w:val="NormalWeb"/>
        <w:numPr>
          <w:ilvl w:val="0"/>
          <w:numId w:val="2"/>
        </w:numPr>
        <w:rPr>
          <w:rFonts w:ascii="TimesNewRomanPSMT" w:hAnsi="TimesNewRomanPSMT"/>
        </w:rPr>
      </w:pPr>
      <w:r>
        <w:rPr>
          <w:rFonts w:ascii="TimesNewRomanPSMT" w:hAnsi="TimesNewRomanPSMT"/>
        </w:rPr>
        <w:t xml:space="preserve">Patent data: </w:t>
      </w:r>
      <w:r w:rsidR="00676775">
        <w:rPr>
          <w:rFonts w:ascii="TimesNewRomanPSMT" w:hAnsi="TimesNewRomanPSMT"/>
        </w:rPr>
        <w:t>W</w:t>
      </w:r>
      <w:r>
        <w:rPr>
          <w:rFonts w:ascii="TimesNewRomanPSMT" w:hAnsi="TimesNewRomanPSMT"/>
        </w:rPr>
        <w:t xml:space="preserve">e obtained patent data from </w:t>
      </w:r>
      <w:r w:rsidR="00F81688">
        <w:rPr>
          <w:rFonts w:ascii="TimesNewRomanPSMT" w:hAnsi="TimesNewRomanPSMT"/>
        </w:rPr>
        <w:t>multiple</w:t>
      </w:r>
      <w:r>
        <w:rPr>
          <w:rFonts w:ascii="TimesNewRomanPSMT" w:hAnsi="TimesNewRomanPSMT"/>
        </w:rPr>
        <w:t xml:space="preserve"> resources: </w:t>
      </w:r>
      <w:r w:rsidR="00F81688">
        <w:rPr>
          <w:rFonts w:ascii="TimesNewRomanPSMT" w:hAnsi="TimesNewRomanPSMT"/>
        </w:rPr>
        <w:t xml:space="preserve">(1) linkage of patents and U.S. public companies is shared by Kogan, Papanikolaou, </w:t>
      </w:r>
      <w:proofErr w:type="spellStart"/>
      <w:r w:rsidR="00F81688">
        <w:rPr>
          <w:rFonts w:ascii="TimesNewRomanPSMT" w:hAnsi="TimesNewRomanPSMT"/>
        </w:rPr>
        <w:t>Seru</w:t>
      </w:r>
      <w:proofErr w:type="spellEnd"/>
      <w:r w:rsidR="00F81688">
        <w:rPr>
          <w:rFonts w:ascii="TimesNewRomanPSMT" w:hAnsi="TimesNewRomanPSMT"/>
        </w:rPr>
        <w:t xml:space="preserve">, and </w:t>
      </w:r>
      <w:proofErr w:type="spellStart"/>
      <w:r w:rsidR="00F81688">
        <w:rPr>
          <w:rFonts w:ascii="TimesNewRomanPSMT" w:hAnsi="TimesNewRomanPSMT"/>
        </w:rPr>
        <w:t>Stoffman</w:t>
      </w:r>
      <w:proofErr w:type="spellEnd"/>
      <w:r w:rsidR="00F81688">
        <w:rPr>
          <w:rFonts w:ascii="TimesNewRomanPSMT" w:hAnsi="TimesNewRomanPSMT"/>
        </w:rPr>
        <w:t xml:space="preserve"> (2017) and is available from </w:t>
      </w:r>
      <w:hyperlink r:id="rId7" w:history="1">
        <w:r w:rsidR="00F81688" w:rsidRPr="00034359">
          <w:rPr>
            <w:rStyle w:val="Hyperlink"/>
            <w:rFonts w:ascii="TimesNewRomanPSMT" w:hAnsi="TimesNewRomanPSMT"/>
          </w:rPr>
          <w:t>https://github.com/KPSS2017/Technological-Innovation-Resource-Allocation-and-Growth-Extended-Data</w:t>
        </w:r>
      </w:hyperlink>
      <w:r w:rsidR="00F81688">
        <w:rPr>
          <w:rFonts w:ascii="TimesNewRomanPSMT" w:hAnsi="TimesNewRomanPSMT"/>
        </w:rPr>
        <w:t xml:space="preserve"> (downloaded Oct 2022). (2) </w:t>
      </w:r>
      <w:r w:rsidR="00676775">
        <w:rPr>
          <w:rFonts w:ascii="TimesNewRomanPSMT" w:hAnsi="TimesNewRomanPSMT"/>
        </w:rPr>
        <w:t>P</w:t>
      </w:r>
      <w:r w:rsidR="00F81688">
        <w:rPr>
          <w:rFonts w:ascii="TimesNewRomanPSMT" w:hAnsi="TimesNewRomanPSMT"/>
        </w:rPr>
        <w:t xml:space="preserve">atent technology class is obtained from </w:t>
      </w:r>
      <w:proofErr w:type="spellStart"/>
      <w:r>
        <w:rPr>
          <w:rFonts w:ascii="TimesNewRomanPSMT" w:hAnsi="TimesNewRomanPSMT"/>
        </w:rPr>
        <w:t>PatentsView</w:t>
      </w:r>
      <w:proofErr w:type="spellEnd"/>
      <w:r>
        <w:rPr>
          <w:rFonts w:ascii="TimesNewRomanPSMT" w:hAnsi="TimesNewRomanPSMT"/>
        </w:rPr>
        <w:t xml:space="preserve"> </w:t>
      </w:r>
      <w:r w:rsidR="00F81688">
        <w:rPr>
          <w:rFonts w:ascii="TimesNewRomanPSMT" w:hAnsi="TimesNewRomanPSMT"/>
        </w:rPr>
        <w:t xml:space="preserve">and is available from patentsview.org </w:t>
      </w:r>
      <w:r>
        <w:rPr>
          <w:rFonts w:ascii="TimesNewRomanPSMT" w:hAnsi="TimesNewRomanPSMT"/>
        </w:rPr>
        <w:t>(downloaded Oct. 202</w:t>
      </w:r>
      <w:r w:rsidR="00F81688">
        <w:rPr>
          <w:rFonts w:ascii="TimesNewRomanPSMT" w:hAnsi="TimesNewRomanPSMT"/>
        </w:rPr>
        <w:t>2</w:t>
      </w:r>
      <w:r>
        <w:rPr>
          <w:rFonts w:ascii="TimesNewRomanPSMT" w:hAnsi="TimesNewRomanPSMT"/>
        </w:rPr>
        <w:t>)</w:t>
      </w:r>
      <w:r w:rsidR="00F81688">
        <w:rPr>
          <w:rFonts w:ascii="TimesNewRomanPSMT" w:hAnsi="TimesNewRomanPSMT"/>
        </w:rPr>
        <w:t xml:space="preserve">. (3) </w:t>
      </w:r>
      <w:r w:rsidR="00676775">
        <w:rPr>
          <w:rFonts w:ascii="TimesNewRomanPSMT" w:hAnsi="TimesNewRomanPSMT"/>
        </w:rPr>
        <w:t>P</w:t>
      </w:r>
      <w:r w:rsidR="00F81688">
        <w:rPr>
          <w:rFonts w:ascii="TimesNewRomanPSMT" w:hAnsi="TimesNewRomanPSMT"/>
        </w:rPr>
        <w:t xml:space="preserve">atent global family is from Google Patents and is available from Google’s </w:t>
      </w:r>
      <w:proofErr w:type="spellStart"/>
      <w:r w:rsidR="00F81688">
        <w:rPr>
          <w:rFonts w:ascii="TimesNewRomanPSMT" w:hAnsi="TimesNewRomanPSMT"/>
        </w:rPr>
        <w:t>BigQuery</w:t>
      </w:r>
      <w:proofErr w:type="spellEnd"/>
      <w:r w:rsidR="00F81688">
        <w:rPr>
          <w:rFonts w:ascii="TimesNewRomanPSMT" w:hAnsi="TimesNewRomanPSMT"/>
        </w:rPr>
        <w:t xml:space="preserve"> (downloaded Nov. 2022). (4) </w:t>
      </w:r>
      <w:r w:rsidR="00676775">
        <w:rPr>
          <w:rFonts w:ascii="TimesNewRomanPSMT" w:hAnsi="TimesNewRomanPSMT"/>
        </w:rPr>
        <w:t>P</w:t>
      </w:r>
      <w:r w:rsidR="00F81688">
        <w:rPr>
          <w:rFonts w:ascii="TimesNewRomanPSMT" w:hAnsi="TimesNewRomanPSMT"/>
        </w:rPr>
        <w:t xml:space="preserve">atent rejection decision is obtained from </w:t>
      </w:r>
      <w:bookmarkStart w:id="0" w:name="OLE_LINK1"/>
      <w:r w:rsidR="00F81688">
        <w:rPr>
          <w:rFonts w:ascii="TimesNewRomanPSMT" w:hAnsi="TimesNewRomanPSMT"/>
        </w:rPr>
        <w:t xml:space="preserve">Patent Application Office Actions Research Dataset </w:t>
      </w:r>
      <w:bookmarkEnd w:id="0"/>
      <w:r w:rsidR="00F81688">
        <w:rPr>
          <w:rFonts w:ascii="TimesNewRomanPSMT" w:hAnsi="TimesNewRomanPSMT"/>
        </w:rPr>
        <w:t xml:space="preserve">and is available from </w:t>
      </w:r>
      <w:hyperlink r:id="rId8" w:history="1">
        <w:r w:rsidR="00767AD1" w:rsidRPr="00034359">
          <w:rPr>
            <w:rStyle w:val="Hyperlink"/>
            <w:rFonts w:ascii="TimesNewRomanPSMT" w:hAnsi="TimesNewRomanPSMT"/>
          </w:rPr>
          <w:t>https://bulkdata.uspto.gov/data/patent/office/actions/bigdata/2017/</w:t>
        </w:r>
      </w:hyperlink>
      <w:r w:rsidR="00767AD1">
        <w:rPr>
          <w:rFonts w:ascii="TimesNewRomanPSMT" w:hAnsi="TimesNewRomanPSMT"/>
        </w:rPr>
        <w:t xml:space="preserve"> (downloaded Nov. 2022)</w:t>
      </w:r>
    </w:p>
    <w:p w14:paraId="3D2DC3DB" w14:textId="316DFF57" w:rsidR="00891069" w:rsidRPr="00026759" w:rsidRDefault="00891069" w:rsidP="00026759">
      <w:pPr>
        <w:pStyle w:val="NormalWeb"/>
        <w:numPr>
          <w:ilvl w:val="0"/>
          <w:numId w:val="2"/>
        </w:numPr>
        <w:rPr>
          <w:rFonts w:ascii="TimesNewRomanPSMT" w:hAnsi="TimesNewRomanPSMT"/>
        </w:rPr>
      </w:pPr>
      <w:r>
        <w:rPr>
          <w:rFonts w:ascii="TimesNewRomanPSMT" w:hAnsi="TimesNewRomanPSMT"/>
        </w:rPr>
        <w:t xml:space="preserve">Patent-to-paper citations: </w:t>
      </w:r>
      <w:r w:rsidR="00676775">
        <w:rPr>
          <w:rFonts w:ascii="TimesNewRomanPSMT" w:hAnsi="TimesNewRomanPSMT"/>
        </w:rPr>
        <w:t>W</w:t>
      </w:r>
      <w:r>
        <w:rPr>
          <w:rFonts w:ascii="TimesNewRomanPSMT" w:hAnsi="TimesNewRomanPSMT"/>
        </w:rPr>
        <w:t xml:space="preserve">e obtained the data from the Reliance-on-Science database available from </w:t>
      </w:r>
      <w:hyperlink r:id="rId9" w:history="1">
        <w:r w:rsidRPr="00285002">
          <w:rPr>
            <w:rStyle w:val="Hyperlink"/>
            <w:rFonts w:ascii="TimesNewRomanPSMT" w:hAnsi="TimesNewRomanPSMT"/>
          </w:rPr>
          <w:t>https://relianceonscience.org</w:t>
        </w:r>
      </w:hyperlink>
      <w:r>
        <w:rPr>
          <w:rFonts w:ascii="TimesNewRomanPSMT" w:hAnsi="TimesNewRomanPSMT"/>
        </w:rPr>
        <w:t xml:space="preserve"> (downloaded Jul. 2023).</w:t>
      </w:r>
    </w:p>
    <w:p w14:paraId="54740276" w14:textId="742C33C8" w:rsidR="001D4C7A" w:rsidRDefault="001D4C7A" w:rsidP="001D4C7A">
      <w:pPr>
        <w:pStyle w:val="NormalWeb"/>
        <w:numPr>
          <w:ilvl w:val="0"/>
          <w:numId w:val="1"/>
        </w:numPr>
        <w:rPr>
          <w:rFonts w:ascii="TimesNewRomanPSMT" w:hAnsi="TimesNewRomanPSMT"/>
        </w:rPr>
      </w:pPr>
      <w:r>
        <w:rPr>
          <w:rFonts w:ascii="TimesNewRomanPSMT" w:hAnsi="TimesNewRomanPSMT"/>
        </w:rPr>
        <w:t xml:space="preserve">If the data are obtained from an organization on a proprietary basis, the authors should </w:t>
      </w:r>
      <w:r>
        <w:rPr>
          <w:rFonts w:ascii="TimesNewRomanPS" w:hAnsi="TimesNewRomanPS"/>
          <w:i/>
          <w:iCs/>
        </w:rPr>
        <w:t xml:space="preserve">privately </w:t>
      </w:r>
      <w:r>
        <w:rPr>
          <w:rFonts w:ascii="TimesNewRomanPSMT" w:hAnsi="TimesNewRomanPSMT"/>
        </w:rPr>
        <w:t xml:space="preserve">provide the editors with contact information for a representative of the organization who can confirm data were obtained by the authors. The editors would not make this information publicly available. The authors should also provide information to the editors about the data sharing agreement with the organization (e.g., non-disclosure agreements, any restrictions imposed by the organization on the authors, such as restrictions to publish certain results). In particular, the authors should indicate if an organization or data provider imposes restrictions on the publication of the results, has not given the authors full control of the relevant data, requires that the results </w:t>
      </w:r>
      <w:proofErr w:type="gramStart"/>
      <w:r>
        <w:rPr>
          <w:rFonts w:ascii="TimesNewRomanPSMT" w:hAnsi="TimesNewRomanPSMT"/>
        </w:rPr>
        <w:t>have to</w:t>
      </w:r>
      <w:proofErr w:type="gramEnd"/>
      <w:r>
        <w:rPr>
          <w:rFonts w:ascii="TimesNewRomanPSMT" w:hAnsi="TimesNewRomanPSMT"/>
        </w:rPr>
        <w:t xml:space="preserve"> be reviewed or approved prior to public release of the paper or publication. This information should be provided to the editors upon submission. </w:t>
      </w:r>
    </w:p>
    <w:p w14:paraId="2F820D4A" w14:textId="12118579" w:rsidR="005270D8" w:rsidRDefault="001D4C7A" w:rsidP="00676775">
      <w:pPr>
        <w:pStyle w:val="ListParagraph"/>
        <w:spacing w:before="100" w:beforeAutospacing="1" w:after="100" w:afterAutospacing="1"/>
        <w:rPr>
          <w:rFonts w:ascii="TimesNewRomanPSMT" w:eastAsia="Times New Roman" w:hAnsi="TimesNewRomanPSMT" w:cs="Times New Roman"/>
        </w:rPr>
      </w:pPr>
      <w:r w:rsidRPr="001D4C7A">
        <w:rPr>
          <w:rFonts w:ascii="TimesNewRomanPSMT" w:eastAsia="Times New Roman" w:hAnsi="TimesNewRomanPSMT" w:cs="Times New Roman"/>
        </w:rPr>
        <w:t>Not applicable</w:t>
      </w:r>
      <w:r>
        <w:rPr>
          <w:rFonts w:ascii="TimesNewRomanPSMT" w:eastAsia="Times New Roman" w:hAnsi="TimesNewRomanPSMT" w:cs="Times New Roman"/>
        </w:rPr>
        <w:t>.</w:t>
      </w:r>
    </w:p>
    <w:p w14:paraId="00C6C8D2" w14:textId="77777777" w:rsidR="005236E6" w:rsidRDefault="005236E6" w:rsidP="00676775">
      <w:pPr>
        <w:pStyle w:val="ListParagraph"/>
        <w:spacing w:before="100" w:beforeAutospacing="1" w:after="100" w:afterAutospacing="1"/>
        <w:rPr>
          <w:rFonts w:ascii="TimesNewRomanPSMT" w:eastAsia="Times New Roman" w:hAnsi="TimesNewRomanPSMT" w:cs="Times New Roman"/>
        </w:rPr>
      </w:pPr>
    </w:p>
    <w:p w14:paraId="0D4BFEA4" w14:textId="77777777" w:rsidR="005236E6" w:rsidRDefault="005236E6" w:rsidP="005236E6">
      <w:pPr>
        <w:pStyle w:val="NormalWeb"/>
        <w:numPr>
          <w:ilvl w:val="0"/>
          <w:numId w:val="1"/>
        </w:numPr>
        <w:rPr>
          <w:rFonts w:ascii="TimesNewRomanPSMT" w:hAnsi="TimesNewRomanPSMT"/>
        </w:rPr>
      </w:pPr>
      <w:r w:rsidRPr="005236E6">
        <w:rPr>
          <w:rFonts w:ascii="TimesNewRomanPSMT" w:hAnsi="TimesNewRomanPSMT"/>
        </w:rPr>
        <w:lastRenderedPageBreak/>
        <w:t>An assurance that the data and programs will be maintained by at least one author</w:t>
      </w:r>
      <w:r w:rsidRPr="005236E6">
        <w:rPr>
          <w:rFonts w:ascii="TimesNewRomanPSMT" w:hAnsi="TimesNewRomanPSMT"/>
        </w:rPr>
        <w:t xml:space="preserve"> </w:t>
      </w:r>
      <w:r w:rsidRPr="005236E6">
        <w:rPr>
          <w:rFonts w:ascii="TimesNewRomanPSMT" w:hAnsi="TimesNewRomanPSMT"/>
        </w:rPr>
        <w:t>(usually the corresponding author) for at least six years, consistent with National</w:t>
      </w:r>
      <w:r w:rsidRPr="005236E6">
        <w:rPr>
          <w:rFonts w:ascii="TimesNewRomanPSMT" w:hAnsi="TimesNewRomanPSMT"/>
        </w:rPr>
        <w:t xml:space="preserve"> </w:t>
      </w:r>
      <w:r w:rsidRPr="005236E6">
        <w:rPr>
          <w:rFonts w:ascii="TimesNewRomanPSMT" w:hAnsi="TimesNewRomanPSMT"/>
        </w:rPr>
        <w:t>Science</w:t>
      </w:r>
      <w:r w:rsidRPr="005236E6">
        <w:rPr>
          <w:rFonts w:ascii="TimesNewRomanPSMT" w:hAnsi="TimesNewRomanPSMT"/>
        </w:rPr>
        <w:t xml:space="preserve"> </w:t>
      </w:r>
      <w:r w:rsidRPr="005236E6">
        <w:rPr>
          <w:rFonts w:ascii="TimesNewRomanPSMT" w:hAnsi="TimesNewRomanPSMT"/>
        </w:rPr>
        <w:t>Foundation guidelines.</w:t>
      </w:r>
    </w:p>
    <w:p w14:paraId="59590208" w14:textId="0BC495BD" w:rsidR="005236E6" w:rsidRPr="005236E6" w:rsidRDefault="005236E6" w:rsidP="005236E6">
      <w:pPr>
        <w:pStyle w:val="NormalWeb"/>
        <w:ind w:left="720"/>
        <w:rPr>
          <w:rFonts w:ascii="TimesNewRomanPSMT" w:hAnsi="TimesNewRomanPSMT"/>
        </w:rPr>
      </w:pPr>
      <w:r w:rsidRPr="005236E6">
        <w:rPr>
          <w:color w:val="000000"/>
          <w:lang w:val="en-US"/>
        </w:rPr>
        <w:t>We assure that we will maintain the data and programs for at least six years, consistent with</w:t>
      </w:r>
      <w:r>
        <w:rPr>
          <w:rFonts w:ascii="TimesNewRomanPSMT" w:hAnsi="TimesNewRomanPSMT"/>
        </w:rPr>
        <w:t xml:space="preserve"> </w:t>
      </w:r>
      <w:r>
        <w:rPr>
          <w:color w:val="000000"/>
          <w:lang w:val="en-US"/>
        </w:rPr>
        <w:t>National Science Foundation guidelines.</w:t>
      </w:r>
    </w:p>
    <w:sectPr w:rsidR="005236E6" w:rsidRPr="005236E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383"/>
    <w:multiLevelType w:val="multilevel"/>
    <w:tmpl w:val="F6140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BE2DA5"/>
    <w:multiLevelType w:val="multilevel"/>
    <w:tmpl w:val="C8C26F6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75034E5"/>
    <w:multiLevelType w:val="multilevel"/>
    <w:tmpl w:val="367EE9C0"/>
    <w:lvl w:ilvl="0">
      <w:start w:val="1"/>
      <w:numFmt w:val="decimal"/>
      <w:lvlText w:val="%1)"/>
      <w:lvlJc w:val="left"/>
      <w:pPr>
        <w:ind w:left="1069" w:hanging="360"/>
      </w:pPr>
    </w:lvl>
    <w:lvl w:ilvl="1">
      <w:start w:val="1"/>
      <w:numFmt w:val="decimal"/>
      <w:lvlText w:val="(%2)"/>
      <w:lvlJc w:val="left"/>
      <w:pPr>
        <w:ind w:left="1789" w:hanging="360"/>
      </w:pPr>
      <w:rPr>
        <w:rFonts w:hint="default"/>
      </w:r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num w:numId="1" w16cid:durableId="639379644">
    <w:abstractNumId w:val="1"/>
  </w:num>
  <w:num w:numId="2" w16cid:durableId="2094007156">
    <w:abstractNumId w:val="2"/>
  </w:num>
  <w:num w:numId="3" w16cid:durableId="2009861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7FC"/>
    <w:rsid w:val="00026759"/>
    <w:rsid w:val="001927FC"/>
    <w:rsid w:val="001D4C7A"/>
    <w:rsid w:val="002003C0"/>
    <w:rsid w:val="00266B7E"/>
    <w:rsid w:val="004E4C90"/>
    <w:rsid w:val="005236E6"/>
    <w:rsid w:val="005270D8"/>
    <w:rsid w:val="00666324"/>
    <w:rsid w:val="00676775"/>
    <w:rsid w:val="00767AD1"/>
    <w:rsid w:val="00891069"/>
    <w:rsid w:val="00A04A90"/>
    <w:rsid w:val="00B4538F"/>
    <w:rsid w:val="00B6416D"/>
    <w:rsid w:val="00F8168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D059C"/>
  <w15:chartTrackingRefBased/>
  <w15:docId w15:val="{41CB92F5-A70F-9B4A-BFB8-65538189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27F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266B7E"/>
    <w:rPr>
      <w:color w:val="0563C1" w:themeColor="hyperlink"/>
      <w:u w:val="single"/>
    </w:rPr>
  </w:style>
  <w:style w:type="character" w:styleId="UnresolvedMention">
    <w:name w:val="Unresolved Mention"/>
    <w:basedOn w:val="DefaultParagraphFont"/>
    <w:uiPriority w:val="99"/>
    <w:semiHidden/>
    <w:unhideWhenUsed/>
    <w:rsid w:val="00266B7E"/>
    <w:rPr>
      <w:color w:val="605E5C"/>
      <w:shd w:val="clear" w:color="auto" w:fill="E1DFDD"/>
    </w:rPr>
  </w:style>
  <w:style w:type="paragraph" w:styleId="ListParagraph">
    <w:name w:val="List Paragraph"/>
    <w:basedOn w:val="Normal"/>
    <w:uiPriority w:val="34"/>
    <w:qFormat/>
    <w:rsid w:val="001D4C7A"/>
    <w:pPr>
      <w:ind w:left="720"/>
      <w:contextualSpacing/>
    </w:pPr>
  </w:style>
  <w:style w:type="paragraph" w:styleId="Revision">
    <w:name w:val="Revision"/>
    <w:hidden/>
    <w:uiPriority w:val="99"/>
    <w:semiHidden/>
    <w:rsid w:val="00A04A90"/>
  </w:style>
  <w:style w:type="character" w:styleId="CommentReference">
    <w:name w:val="annotation reference"/>
    <w:basedOn w:val="DefaultParagraphFont"/>
    <w:uiPriority w:val="99"/>
    <w:semiHidden/>
    <w:unhideWhenUsed/>
    <w:rsid w:val="00A04A90"/>
    <w:rPr>
      <w:sz w:val="16"/>
      <w:szCs w:val="16"/>
    </w:rPr>
  </w:style>
  <w:style w:type="paragraph" w:styleId="CommentText">
    <w:name w:val="annotation text"/>
    <w:basedOn w:val="Normal"/>
    <w:link w:val="CommentTextChar"/>
    <w:uiPriority w:val="99"/>
    <w:unhideWhenUsed/>
    <w:rsid w:val="00A04A90"/>
    <w:rPr>
      <w:sz w:val="20"/>
      <w:szCs w:val="20"/>
    </w:rPr>
  </w:style>
  <w:style w:type="character" w:customStyle="1" w:styleId="CommentTextChar">
    <w:name w:val="Comment Text Char"/>
    <w:basedOn w:val="DefaultParagraphFont"/>
    <w:link w:val="CommentText"/>
    <w:uiPriority w:val="99"/>
    <w:rsid w:val="00A04A90"/>
    <w:rPr>
      <w:sz w:val="20"/>
      <w:szCs w:val="20"/>
    </w:rPr>
  </w:style>
  <w:style w:type="paragraph" w:styleId="CommentSubject">
    <w:name w:val="annotation subject"/>
    <w:basedOn w:val="CommentText"/>
    <w:next w:val="CommentText"/>
    <w:link w:val="CommentSubjectChar"/>
    <w:uiPriority w:val="99"/>
    <w:semiHidden/>
    <w:unhideWhenUsed/>
    <w:rsid w:val="00A04A90"/>
    <w:rPr>
      <w:b/>
      <w:bCs/>
    </w:rPr>
  </w:style>
  <w:style w:type="character" w:customStyle="1" w:styleId="CommentSubjectChar">
    <w:name w:val="Comment Subject Char"/>
    <w:basedOn w:val="CommentTextChar"/>
    <w:link w:val="CommentSubject"/>
    <w:uiPriority w:val="99"/>
    <w:semiHidden/>
    <w:rsid w:val="00A04A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01943">
      <w:bodyDiv w:val="1"/>
      <w:marLeft w:val="0"/>
      <w:marRight w:val="0"/>
      <w:marTop w:val="0"/>
      <w:marBottom w:val="0"/>
      <w:divBdr>
        <w:top w:val="none" w:sz="0" w:space="0" w:color="auto"/>
        <w:left w:val="none" w:sz="0" w:space="0" w:color="auto"/>
        <w:bottom w:val="none" w:sz="0" w:space="0" w:color="auto"/>
        <w:right w:val="none" w:sz="0" w:space="0" w:color="auto"/>
      </w:divBdr>
      <w:divsChild>
        <w:div w:id="749471855">
          <w:marLeft w:val="0"/>
          <w:marRight w:val="0"/>
          <w:marTop w:val="0"/>
          <w:marBottom w:val="0"/>
          <w:divBdr>
            <w:top w:val="none" w:sz="0" w:space="0" w:color="auto"/>
            <w:left w:val="none" w:sz="0" w:space="0" w:color="auto"/>
            <w:bottom w:val="none" w:sz="0" w:space="0" w:color="auto"/>
            <w:right w:val="none" w:sz="0" w:space="0" w:color="auto"/>
          </w:divBdr>
          <w:divsChild>
            <w:div w:id="647049984">
              <w:marLeft w:val="0"/>
              <w:marRight w:val="0"/>
              <w:marTop w:val="0"/>
              <w:marBottom w:val="0"/>
              <w:divBdr>
                <w:top w:val="none" w:sz="0" w:space="0" w:color="auto"/>
                <w:left w:val="none" w:sz="0" w:space="0" w:color="auto"/>
                <w:bottom w:val="none" w:sz="0" w:space="0" w:color="auto"/>
                <w:right w:val="none" w:sz="0" w:space="0" w:color="auto"/>
              </w:divBdr>
              <w:divsChild>
                <w:div w:id="145019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414113">
      <w:bodyDiv w:val="1"/>
      <w:marLeft w:val="0"/>
      <w:marRight w:val="0"/>
      <w:marTop w:val="0"/>
      <w:marBottom w:val="0"/>
      <w:divBdr>
        <w:top w:val="none" w:sz="0" w:space="0" w:color="auto"/>
        <w:left w:val="none" w:sz="0" w:space="0" w:color="auto"/>
        <w:bottom w:val="none" w:sz="0" w:space="0" w:color="auto"/>
        <w:right w:val="none" w:sz="0" w:space="0" w:color="auto"/>
      </w:divBdr>
      <w:divsChild>
        <w:div w:id="988482061">
          <w:marLeft w:val="0"/>
          <w:marRight w:val="0"/>
          <w:marTop w:val="0"/>
          <w:marBottom w:val="0"/>
          <w:divBdr>
            <w:top w:val="none" w:sz="0" w:space="0" w:color="auto"/>
            <w:left w:val="none" w:sz="0" w:space="0" w:color="auto"/>
            <w:bottom w:val="none" w:sz="0" w:space="0" w:color="auto"/>
            <w:right w:val="none" w:sz="0" w:space="0" w:color="auto"/>
          </w:divBdr>
          <w:divsChild>
            <w:div w:id="2073654522">
              <w:marLeft w:val="0"/>
              <w:marRight w:val="0"/>
              <w:marTop w:val="0"/>
              <w:marBottom w:val="0"/>
              <w:divBdr>
                <w:top w:val="none" w:sz="0" w:space="0" w:color="auto"/>
                <w:left w:val="none" w:sz="0" w:space="0" w:color="auto"/>
                <w:bottom w:val="none" w:sz="0" w:space="0" w:color="auto"/>
                <w:right w:val="none" w:sz="0" w:space="0" w:color="auto"/>
              </w:divBdr>
              <w:divsChild>
                <w:div w:id="77066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3837">
      <w:bodyDiv w:val="1"/>
      <w:marLeft w:val="0"/>
      <w:marRight w:val="0"/>
      <w:marTop w:val="0"/>
      <w:marBottom w:val="0"/>
      <w:divBdr>
        <w:top w:val="none" w:sz="0" w:space="0" w:color="auto"/>
        <w:left w:val="none" w:sz="0" w:space="0" w:color="auto"/>
        <w:bottom w:val="none" w:sz="0" w:space="0" w:color="auto"/>
        <w:right w:val="none" w:sz="0" w:space="0" w:color="auto"/>
      </w:divBdr>
      <w:divsChild>
        <w:div w:id="909728414">
          <w:marLeft w:val="0"/>
          <w:marRight w:val="0"/>
          <w:marTop w:val="0"/>
          <w:marBottom w:val="0"/>
          <w:divBdr>
            <w:top w:val="none" w:sz="0" w:space="0" w:color="auto"/>
            <w:left w:val="none" w:sz="0" w:space="0" w:color="auto"/>
            <w:bottom w:val="none" w:sz="0" w:space="0" w:color="auto"/>
            <w:right w:val="none" w:sz="0" w:space="0" w:color="auto"/>
          </w:divBdr>
          <w:divsChild>
            <w:div w:id="2013101590">
              <w:marLeft w:val="0"/>
              <w:marRight w:val="0"/>
              <w:marTop w:val="0"/>
              <w:marBottom w:val="0"/>
              <w:divBdr>
                <w:top w:val="none" w:sz="0" w:space="0" w:color="auto"/>
                <w:left w:val="none" w:sz="0" w:space="0" w:color="auto"/>
                <w:bottom w:val="none" w:sz="0" w:space="0" w:color="auto"/>
                <w:right w:val="none" w:sz="0" w:space="0" w:color="auto"/>
              </w:divBdr>
              <w:divsChild>
                <w:div w:id="201210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lkdata.uspto.gov/data/patent/office/actions/bigdata/2017/" TargetMode="External"/><Relationship Id="rId3" Type="http://schemas.openxmlformats.org/officeDocument/2006/relationships/settings" Target="settings.xml"/><Relationship Id="rId7" Type="http://schemas.openxmlformats.org/officeDocument/2006/relationships/hyperlink" Target="https://github.com/KPSS2017/Technological-Innovation-Resource-Allocation-and-Growth-Extended-Da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penalex.org" TargetMode="External"/><Relationship Id="rId11" Type="http://schemas.openxmlformats.org/officeDocument/2006/relationships/theme" Target="theme/theme1.xml"/><Relationship Id="rId5" Type="http://schemas.openxmlformats.org/officeDocument/2006/relationships/hyperlink" Target="https://www.liasheer.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lianceonscie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ZHENG YUXIANG</cp:lastModifiedBy>
  <cp:revision>4</cp:revision>
  <dcterms:created xsi:type="dcterms:W3CDTF">2024-05-02T03:59:00Z</dcterms:created>
  <dcterms:modified xsi:type="dcterms:W3CDTF">2025-01-22T01:17:00Z</dcterms:modified>
</cp:coreProperties>
</file>