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621AD" w14:textId="3EACBA29" w:rsidR="00EC2729" w:rsidRPr="001D32C4" w:rsidRDefault="00EC2729" w:rsidP="00EC2729">
      <w:pPr>
        <w:jc w:val="center"/>
        <w:rPr>
          <w:rFonts w:ascii="LM Roman 10" w:hAnsi="LM Roman 10"/>
          <w:b/>
          <w:sz w:val="28"/>
        </w:rPr>
      </w:pPr>
      <w:r w:rsidRPr="001D32C4">
        <w:rPr>
          <w:rFonts w:ascii="LM Roman 10" w:hAnsi="LM Roman 10"/>
          <w:b/>
          <w:sz w:val="28"/>
        </w:rPr>
        <w:t>Readme for “</w:t>
      </w:r>
      <w:r w:rsidR="0055238A">
        <w:rPr>
          <w:rFonts w:ascii="LM Roman 10" w:hAnsi="LM Roman 10"/>
          <w:b/>
          <w:sz w:val="28"/>
        </w:rPr>
        <w:t xml:space="preserve">How do </w:t>
      </w:r>
      <w:r w:rsidR="0008395B">
        <w:rPr>
          <w:rFonts w:ascii="LM Roman 10" w:hAnsi="LM Roman 10"/>
          <w:b/>
          <w:sz w:val="28"/>
        </w:rPr>
        <w:t>F</w:t>
      </w:r>
      <w:r w:rsidR="0055238A">
        <w:rPr>
          <w:rFonts w:ascii="LM Roman 10" w:hAnsi="LM Roman 10"/>
          <w:b/>
          <w:sz w:val="28"/>
        </w:rPr>
        <w:t xml:space="preserve">irms </w:t>
      </w:r>
      <w:r w:rsidR="0008395B">
        <w:rPr>
          <w:rFonts w:ascii="LM Roman 10" w:hAnsi="LM Roman 10"/>
          <w:b/>
          <w:sz w:val="28"/>
        </w:rPr>
        <w:t>R</w:t>
      </w:r>
      <w:r w:rsidR="0055238A">
        <w:rPr>
          <w:rFonts w:ascii="LM Roman 10" w:hAnsi="LM Roman 10"/>
          <w:b/>
          <w:sz w:val="28"/>
        </w:rPr>
        <w:t xml:space="preserve">espond to </w:t>
      </w:r>
      <w:r w:rsidR="0008395B">
        <w:rPr>
          <w:rFonts w:ascii="LM Roman 10" w:hAnsi="LM Roman 10"/>
          <w:b/>
          <w:sz w:val="28"/>
        </w:rPr>
        <w:t>P</w:t>
      </w:r>
      <w:r w:rsidR="0055238A">
        <w:rPr>
          <w:rFonts w:ascii="LM Roman 10" w:hAnsi="LM Roman 10"/>
          <w:b/>
          <w:sz w:val="28"/>
        </w:rPr>
        <w:t xml:space="preserve">olitical </w:t>
      </w:r>
      <w:r w:rsidR="0008395B">
        <w:rPr>
          <w:rFonts w:ascii="LM Roman 10" w:hAnsi="LM Roman 10"/>
          <w:b/>
          <w:sz w:val="28"/>
        </w:rPr>
        <w:t>U</w:t>
      </w:r>
      <w:r w:rsidR="0055238A">
        <w:rPr>
          <w:rFonts w:ascii="LM Roman 10" w:hAnsi="LM Roman 10"/>
          <w:b/>
          <w:sz w:val="28"/>
        </w:rPr>
        <w:t>ncertainty? Evidence from U.S. Gubernatorial Elections</w:t>
      </w:r>
      <w:r w:rsidRPr="001D32C4">
        <w:rPr>
          <w:rFonts w:ascii="LM Roman 10" w:hAnsi="LM Roman 10"/>
          <w:b/>
          <w:sz w:val="28"/>
        </w:rPr>
        <w:t xml:space="preserve">” </w:t>
      </w:r>
    </w:p>
    <w:p w14:paraId="2A96DC1D" w14:textId="388F317E" w:rsidR="00EC2729" w:rsidRPr="001D32C4" w:rsidRDefault="0055238A" w:rsidP="00EC2729">
      <w:pPr>
        <w:jc w:val="center"/>
        <w:rPr>
          <w:rFonts w:ascii="LM Roman 10" w:hAnsi="LM Roman 10"/>
          <w:sz w:val="24"/>
        </w:rPr>
      </w:pPr>
      <w:r>
        <w:rPr>
          <w:rFonts w:ascii="LM Roman 10" w:hAnsi="LM Roman 10"/>
          <w:sz w:val="24"/>
        </w:rPr>
        <w:t xml:space="preserve">Andrew Bird, </w:t>
      </w:r>
      <w:r w:rsidR="00EC2729" w:rsidRPr="001D32C4">
        <w:rPr>
          <w:rFonts w:ascii="LM Roman 10" w:hAnsi="LM Roman 10"/>
          <w:sz w:val="24"/>
        </w:rPr>
        <w:t>Stephen A. Karolyi</w:t>
      </w:r>
      <w:r>
        <w:rPr>
          <w:rFonts w:ascii="LM Roman 10" w:hAnsi="LM Roman 10"/>
          <w:sz w:val="24"/>
        </w:rPr>
        <w:t>, and Thomas G. Ruchti</w:t>
      </w:r>
    </w:p>
    <w:p w14:paraId="78871E72" w14:textId="238803C0" w:rsidR="00EC2729" w:rsidRDefault="00EC2729" w:rsidP="00EC2729">
      <w:pPr>
        <w:jc w:val="both"/>
        <w:rPr>
          <w:rFonts w:ascii="LM Roman 10" w:hAnsi="LM Roman 10"/>
        </w:rPr>
      </w:pPr>
    </w:p>
    <w:p w14:paraId="3404AB93" w14:textId="5044F057" w:rsidR="00A860ED" w:rsidRDefault="002D7BA1" w:rsidP="00A860ED">
      <w:pPr>
        <w:jc w:val="center"/>
        <w:rPr>
          <w:rFonts w:ascii="LM Roman 10" w:hAnsi="LM Roman 10"/>
        </w:rPr>
      </w:pPr>
      <w:r>
        <w:rPr>
          <w:rFonts w:ascii="LM Roman 10" w:hAnsi="LM Roman 10"/>
        </w:rPr>
        <w:t>October 18</w:t>
      </w:r>
      <w:r w:rsidR="00A860ED">
        <w:rPr>
          <w:rFonts w:ascii="LM Roman 10" w:hAnsi="LM Roman 10"/>
        </w:rPr>
        <w:t>, 2022</w:t>
      </w:r>
    </w:p>
    <w:p w14:paraId="038F9682" w14:textId="77777777" w:rsidR="00A860ED" w:rsidRDefault="00A860ED" w:rsidP="00EC2729">
      <w:pPr>
        <w:jc w:val="both"/>
        <w:rPr>
          <w:rFonts w:ascii="LM Roman 10" w:hAnsi="LM Roman 10"/>
        </w:rPr>
      </w:pPr>
    </w:p>
    <w:p w14:paraId="72A7FA6A" w14:textId="4E30EAB9" w:rsidR="00EC2729" w:rsidRPr="001D32C4" w:rsidRDefault="00EC2729" w:rsidP="00EC2729">
      <w:pPr>
        <w:jc w:val="both"/>
        <w:rPr>
          <w:rFonts w:ascii="LM Roman 10" w:hAnsi="LM Roman 10"/>
        </w:rPr>
      </w:pPr>
      <w:r w:rsidRPr="001D32C4">
        <w:rPr>
          <w:rFonts w:ascii="LM Roman 10" w:hAnsi="LM Roman 10"/>
        </w:rPr>
        <w:t xml:space="preserve">The following table summarizes the input-output structure of the code and data required to replicate the findings in </w:t>
      </w:r>
      <w:r w:rsidR="0055238A">
        <w:rPr>
          <w:rFonts w:ascii="LM Roman 10" w:hAnsi="LM Roman 10"/>
        </w:rPr>
        <w:t xml:space="preserve">Bird, </w:t>
      </w:r>
      <w:r w:rsidRPr="001D32C4">
        <w:rPr>
          <w:rFonts w:ascii="LM Roman 10" w:hAnsi="LM Roman 10"/>
        </w:rPr>
        <w:t>Karolyi</w:t>
      </w:r>
      <w:r w:rsidR="0055238A">
        <w:rPr>
          <w:rFonts w:ascii="LM Roman 10" w:hAnsi="LM Roman 10"/>
        </w:rPr>
        <w:t>, and Ruchti</w:t>
      </w:r>
      <w:r w:rsidR="00A860ED">
        <w:rPr>
          <w:rFonts w:ascii="LM Roman 10" w:hAnsi="LM Roman 10"/>
        </w:rPr>
        <w:t xml:space="preserve"> (2022)</w:t>
      </w:r>
      <w:r w:rsidRPr="001D32C4">
        <w:rPr>
          <w:rFonts w:ascii="LM Roman 10" w:hAnsi="LM Roman 10"/>
        </w:rPr>
        <w:t xml:space="preserve">. Requisite raw data that are </w:t>
      </w:r>
      <w:r w:rsidR="0055238A">
        <w:rPr>
          <w:rFonts w:ascii="LM Roman 10" w:hAnsi="LM Roman 10"/>
        </w:rPr>
        <w:t>available from existing public sources are described in this document</w:t>
      </w:r>
      <w:r>
        <w:rPr>
          <w:rFonts w:ascii="LM Roman 10" w:hAnsi="LM Roman 10"/>
        </w:rPr>
        <w:t xml:space="preserve">. </w:t>
      </w:r>
      <w:r w:rsidRPr="001D32C4">
        <w:rPr>
          <w:rFonts w:ascii="LM Roman 10" w:hAnsi="LM Roman 10"/>
        </w:rPr>
        <w:t xml:space="preserve">The enclosed code </w:t>
      </w:r>
      <w:r w:rsidR="004927B8">
        <w:rPr>
          <w:rFonts w:ascii="LM Roman 10" w:hAnsi="LM Roman 10"/>
        </w:rPr>
        <w:t xml:space="preserve">replicates </w:t>
      </w:r>
      <w:r w:rsidR="0055238A">
        <w:rPr>
          <w:rFonts w:ascii="LM Roman 10" w:hAnsi="LM Roman 10"/>
        </w:rPr>
        <w:t xml:space="preserve">Bird, </w:t>
      </w:r>
      <w:r w:rsidR="004927B8">
        <w:rPr>
          <w:rFonts w:ascii="LM Roman 10" w:hAnsi="LM Roman 10"/>
        </w:rPr>
        <w:t>Karolyi</w:t>
      </w:r>
      <w:r w:rsidR="0055238A">
        <w:rPr>
          <w:rFonts w:ascii="LM Roman 10" w:hAnsi="LM Roman 10"/>
        </w:rPr>
        <w:t xml:space="preserve">, and Ruchti </w:t>
      </w:r>
      <w:r w:rsidR="004927B8">
        <w:rPr>
          <w:rFonts w:ascii="LM Roman 10" w:hAnsi="LM Roman 10"/>
        </w:rPr>
        <w:t>(202</w:t>
      </w:r>
      <w:r w:rsidR="0055238A">
        <w:rPr>
          <w:rFonts w:ascii="LM Roman 10" w:hAnsi="LM Roman 10"/>
        </w:rPr>
        <w:t>2</w:t>
      </w:r>
      <w:r w:rsidR="004927B8">
        <w:rPr>
          <w:rFonts w:ascii="LM Roman 10" w:hAnsi="LM Roman 10"/>
        </w:rPr>
        <w:t xml:space="preserve">) from data construction to </w:t>
      </w:r>
      <w:r w:rsidR="0055238A">
        <w:rPr>
          <w:rFonts w:ascii="LM Roman 10" w:hAnsi="LM Roman 10"/>
        </w:rPr>
        <w:t>regression</w:t>
      </w:r>
      <w:r w:rsidR="004927B8">
        <w:rPr>
          <w:rFonts w:ascii="LM Roman 10" w:hAnsi="LM Roman 10"/>
        </w:rPr>
        <w:t xml:space="preserve"> output, and the remainder of this document describes the code architecture</w:t>
      </w:r>
      <w:r w:rsidR="00A860ED">
        <w:rPr>
          <w:rFonts w:ascii="LM Roman 10" w:hAnsi="LM Roman 10"/>
        </w:rPr>
        <w:t xml:space="preserve"> and data sources</w:t>
      </w:r>
      <w:r w:rsidR="004927B8">
        <w:rPr>
          <w:rFonts w:ascii="LM Roman 10" w:hAnsi="LM Roman 10"/>
        </w:rPr>
        <w:t>.</w:t>
      </w:r>
    </w:p>
    <w:p w14:paraId="54C6DC34" w14:textId="77777777" w:rsidR="004927B8" w:rsidRDefault="004927B8" w:rsidP="004927B8">
      <w:pPr>
        <w:jc w:val="both"/>
        <w:rPr>
          <w:rFonts w:ascii="LM Roman 10" w:hAnsi="LM Roman 10"/>
        </w:rPr>
      </w:pPr>
    </w:p>
    <w:p w14:paraId="7B75424D" w14:textId="77777777" w:rsidR="0055238A" w:rsidRDefault="0055238A">
      <w:pPr>
        <w:rPr>
          <w:rFonts w:ascii="LM Roman 10" w:hAnsi="LM Roman 10"/>
        </w:rPr>
      </w:pPr>
    </w:p>
    <w:p w14:paraId="54D1B4DA" w14:textId="77777777" w:rsidR="0055238A" w:rsidRDefault="0055238A">
      <w:pPr>
        <w:rPr>
          <w:rFonts w:ascii="LM Roman 10" w:hAnsi="LM Roman 10"/>
        </w:rPr>
      </w:pPr>
      <w:r>
        <w:rPr>
          <w:rFonts w:ascii="LM Roman 10" w:hAnsi="LM Roman 10"/>
        </w:rPr>
        <w:br w:type="page"/>
      </w:r>
    </w:p>
    <w:p w14:paraId="10D16F6D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lastRenderedPageBreak/>
        <w:t>+++++++++++++++++++++++++++++++++++</w:t>
      </w:r>
    </w:p>
    <w:p w14:paraId="4DAC5C99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Contents:</w:t>
      </w:r>
    </w:p>
    <w:p w14:paraId="686935AB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;-;Main programs;-;</w:t>
      </w:r>
    </w:p>
    <w:p w14:paraId="273CC407" w14:textId="3034CEE8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politicaluncertainty</w:t>
      </w:r>
      <w:r w:rsidRPr="001104BD">
        <w:rPr>
          <w:rFonts w:ascii="Courier New" w:hAnsi="Courier New" w:cs="Courier New"/>
        </w:rPr>
        <w:t>_</w:t>
      </w:r>
      <w:r w:rsidR="00E24A97">
        <w:rPr>
          <w:rFonts w:ascii="Courier New" w:hAnsi="Courier New" w:cs="Courier New"/>
        </w:rPr>
        <w:t>data</w:t>
      </w:r>
      <w:r>
        <w:rPr>
          <w:rFonts w:ascii="Courier New" w:hAnsi="Courier New" w:cs="Courier New"/>
        </w:rPr>
        <w:t>construction</w:t>
      </w:r>
      <w:r w:rsidRPr="001104BD">
        <w:rPr>
          <w:rFonts w:ascii="Courier New" w:hAnsi="Courier New" w:cs="Courier New"/>
        </w:rPr>
        <w:t>.do</w:t>
      </w:r>
    </w:p>
    <w:p w14:paraId="61391164" w14:textId="71630249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politicaluncertainty</w:t>
      </w:r>
      <w:r w:rsidRPr="001104BD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exhibits</w:t>
      </w:r>
      <w:r w:rsidRPr="001104BD">
        <w:rPr>
          <w:rFonts w:ascii="Courier New" w:hAnsi="Courier New" w:cs="Courier New"/>
        </w:rPr>
        <w:t>.do</w:t>
      </w:r>
    </w:p>
    <w:p w14:paraId="3C40FAF1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+++++++++++++++++++++++++++++++++++</w:t>
      </w:r>
    </w:p>
    <w:p w14:paraId="23E7B72F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</w:p>
    <w:p w14:paraId="0B6B526E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</w:p>
    <w:p w14:paraId="266A86AD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+++++++++++++++++++++++++++++++++++</w:t>
      </w:r>
    </w:p>
    <w:p w14:paraId="48F1E1AE" w14:textId="2B062948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Description:</w:t>
      </w:r>
    </w:p>
    <w:p w14:paraId="026BB6DE" w14:textId="350B8558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The Stata programs are labeled "</w:t>
      </w:r>
      <w:r>
        <w:rPr>
          <w:rFonts w:ascii="Courier New" w:hAnsi="Courier New" w:cs="Courier New"/>
        </w:rPr>
        <w:t>politicaluncertainty</w:t>
      </w:r>
      <w:r w:rsidRPr="001104BD">
        <w:rPr>
          <w:rFonts w:ascii="Courier New" w:hAnsi="Courier New" w:cs="Courier New"/>
        </w:rPr>
        <w:t xml:space="preserve">_. . ." and correspond to </w:t>
      </w:r>
      <w:r>
        <w:rPr>
          <w:rFonts w:ascii="Courier New" w:hAnsi="Courier New" w:cs="Courier New"/>
        </w:rPr>
        <w:t>programs that construct the estimation sample</w:t>
      </w:r>
      <w:r w:rsidRPr="001104BD">
        <w:rPr>
          <w:rFonts w:ascii="Courier New" w:hAnsi="Courier New" w:cs="Courier New"/>
        </w:rPr>
        <w:t xml:space="preserve"> and </w:t>
      </w:r>
      <w:r>
        <w:rPr>
          <w:rFonts w:ascii="Courier New" w:hAnsi="Courier New" w:cs="Courier New"/>
        </w:rPr>
        <w:t>produce output, respectively</w:t>
      </w:r>
      <w:r w:rsidRPr="001104BD">
        <w:rPr>
          <w:rFonts w:ascii="Courier New" w:hAnsi="Courier New" w:cs="Courier New"/>
        </w:rPr>
        <w:t>. The data construction program takes raw data input</w:t>
      </w:r>
      <w:r>
        <w:rPr>
          <w:rFonts w:ascii="Courier New" w:hAnsi="Courier New" w:cs="Courier New"/>
        </w:rPr>
        <w:t xml:space="preserve">, including manually collected data that we have made available on the </w:t>
      </w:r>
      <w:r w:rsidRPr="00AA5042">
        <w:rPr>
          <w:rFonts w:ascii="Courier New" w:hAnsi="Courier New" w:cs="Courier New"/>
          <w:i/>
          <w:iCs/>
        </w:rPr>
        <w:t>Journal of Accounting Research</w:t>
      </w:r>
      <w:r>
        <w:rPr>
          <w:rFonts w:ascii="Courier New" w:hAnsi="Courier New" w:cs="Courier New"/>
        </w:rPr>
        <w:t xml:space="preserve"> </w:t>
      </w:r>
      <w:r w:rsidR="00AA5042">
        <w:rPr>
          <w:rFonts w:ascii="Courier New" w:hAnsi="Courier New" w:cs="Courier New"/>
        </w:rPr>
        <w:t>repository</w:t>
      </w:r>
      <w:r w:rsidRPr="001104BD">
        <w:rPr>
          <w:rFonts w:ascii="Courier New" w:hAnsi="Courier New" w:cs="Courier New"/>
        </w:rPr>
        <w:t xml:space="preserve"> - and transforms them into </w:t>
      </w:r>
      <w:r>
        <w:rPr>
          <w:rFonts w:ascii="Courier New" w:hAnsi="Courier New" w:cs="Courier New"/>
        </w:rPr>
        <w:t>the estimation</w:t>
      </w:r>
      <w:r w:rsidRPr="001104B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sample </w:t>
      </w:r>
      <w:r w:rsidRPr="001104BD">
        <w:rPr>
          <w:rFonts w:ascii="Courier New" w:hAnsi="Courier New" w:cs="Courier New"/>
        </w:rPr>
        <w:t xml:space="preserve">for </w:t>
      </w:r>
      <w:r>
        <w:rPr>
          <w:rFonts w:ascii="Courier New" w:hAnsi="Courier New" w:cs="Courier New"/>
        </w:rPr>
        <w:t>the tables and figures presented in the paper</w:t>
      </w:r>
      <w:r w:rsidRPr="001104BD">
        <w:rPr>
          <w:rFonts w:ascii="Courier New" w:hAnsi="Courier New" w:cs="Courier New"/>
        </w:rPr>
        <w:t xml:space="preserve">. The </w:t>
      </w:r>
      <w:r w:rsidR="00152BDF">
        <w:rPr>
          <w:rFonts w:ascii="Courier New" w:hAnsi="Courier New" w:cs="Courier New"/>
        </w:rPr>
        <w:t>exhibits</w:t>
      </w:r>
      <w:r w:rsidRPr="001104BD">
        <w:rPr>
          <w:rFonts w:ascii="Courier New" w:hAnsi="Courier New" w:cs="Courier New"/>
        </w:rPr>
        <w:t xml:space="preserve"> program estimates regression</w:t>
      </w:r>
      <w:r w:rsidR="00152BDF">
        <w:rPr>
          <w:rFonts w:ascii="Courier New" w:hAnsi="Courier New" w:cs="Courier New"/>
        </w:rPr>
        <w:t xml:space="preserve"> models, reports estimation results, and produces figures</w:t>
      </w:r>
      <w:r w:rsidRPr="001104BD">
        <w:rPr>
          <w:rFonts w:ascii="Courier New" w:hAnsi="Courier New" w:cs="Courier New"/>
        </w:rPr>
        <w:t xml:space="preserve">. </w:t>
      </w:r>
    </w:p>
    <w:p w14:paraId="79531047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</w:p>
    <w:p w14:paraId="02A46564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The following are the steps relevant to running the data construction program.</w:t>
      </w:r>
    </w:p>
    <w:p w14:paraId="77D25F9A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</w:p>
    <w:p w14:paraId="5CAA9294" w14:textId="77777777" w:rsidR="001104BD" w:rsidRPr="00AA5042" w:rsidRDefault="001104BD" w:rsidP="001104BD">
      <w:pPr>
        <w:pStyle w:val="NoSpacing"/>
        <w:rPr>
          <w:rFonts w:ascii="Courier New" w:hAnsi="Courier New" w:cs="Courier New"/>
        </w:rPr>
      </w:pPr>
      <w:r w:rsidRPr="00AA5042">
        <w:rPr>
          <w:rFonts w:ascii="Courier New" w:hAnsi="Courier New" w:cs="Courier New"/>
        </w:rPr>
        <w:t>Steps, in order</w:t>
      </w:r>
    </w:p>
    <w:p w14:paraId="16C61D72" w14:textId="3204D835" w:rsidR="001104BD" w:rsidRPr="00AA5042" w:rsidRDefault="001104BD" w:rsidP="001104BD">
      <w:pPr>
        <w:pStyle w:val="NoSpacing"/>
        <w:rPr>
          <w:rFonts w:ascii="Courier New" w:hAnsi="Courier New" w:cs="Courier New"/>
        </w:rPr>
      </w:pPr>
      <w:r w:rsidRPr="00AA5042">
        <w:rPr>
          <w:rFonts w:ascii="Courier New" w:hAnsi="Courier New" w:cs="Courier New"/>
        </w:rPr>
        <w:t xml:space="preserve">1. </w:t>
      </w:r>
      <w:r w:rsidR="00AA5042" w:rsidRPr="00AA5042">
        <w:rPr>
          <w:rFonts w:ascii="Courier New" w:hAnsi="Courier New" w:cs="Courier New"/>
        </w:rPr>
        <w:t xml:space="preserve">Assemble raw data from sources enumerated in the Data Appendix, including data manually collected by the authors and available in the </w:t>
      </w:r>
      <w:r w:rsidR="00AA5042" w:rsidRPr="00AA5042">
        <w:rPr>
          <w:rFonts w:ascii="Courier New" w:hAnsi="Courier New" w:cs="Courier New"/>
          <w:i/>
          <w:iCs/>
        </w:rPr>
        <w:t>Journal of Accounting Research</w:t>
      </w:r>
      <w:r w:rsidR="00AA5042" w:rsidRPr="00AA5042">
        <w:rPr>
          <w:rFonts w:ascii="Courier New" w:hAnsi="Courier New" w:cs="Courier New"/>
        </w:rPr>
        <w:t xml:space="preserve"> repository.</w:t>
      </w:r>
      <w:r w:rsidRPr="00AA5042">
        <w:rPr>
          <w:rFonts w:ascii="Courier New" w:hAnsi="Courier New" w:cs="Courier New"/>
        </w:rPr>
        <w:t xml:space="preserve">  </w:t>
      </w:r>
    </w:p>
    <w:p w14:paraId="4964648C" w14:textId="77777777" w:rsidR="001104BD" w:rsidRPr="00AA5042" w:rsidRDefault="001104BD" w:rsidP="001104BD">
      <w:pPr>
        <w:pStyle w:val="NoSpacing"/>
        <w:rPr>
          <w:rFonts w:ascii="Courier New" w:hAnsi="Courier New" w:cs="Courier New"/>
        </w:rPr>
      </w:pPr>
    </w:p>
    <w:p w14:paraId="2B72294D" w14:textId="7EE73DB2" w:rsidR="001104BD" w:rsidRPr="00AA5042" w:rsidRDefault="001104BD" w:rsidP="001104BD">
      <w:pPr>
        <w:pStyle w:val="NoSpacing"/>
        <w:rPr>
          <w:rFonts w:ascii="Courier New" w:hAnsi="Courier New" w:cs="Courier New"/>
        </w:rPr>
      </w:pPr>
      <w:r w:rsidRPr="00AA5042">
        <w:rPr>
          <w:rFonts w:ascii="Courier New" w:hAnsi="Courier New" w:cs="Courier New"/>
        </w:rPr>
        <w:t>2. Open STATA 1</w:t>
      </w:r>
      <w:r w:rsidR="00152BDF" w:rsidRPr="00AA5042">
        <w:rPr>
          <w:rFonts w:ascii="Courier New" w:hAnsi="Courier New" w:cs="Courier New"/>
        </w:rPr>
        <w:t>5.1</w:t>
      </w:r>
      <w:r w:rsidRPr="00AA5042">
        <w:rPr>
          <w:rFonts w:ascii="Courier New" w:hAnsi="Courier New" w:cs="Courier New"/>
        </w:rPr>
        <w:t xml:space="preserve"> (or a newer version) on your computer</w:t>
      </w:r>
      <w:r w:rsidR="00AA5042" w:rsidRPr="00AA5042">
        <w:rPr>
          <w:rFonts w:ascii="Courier New" w:hAnsi="Courier New" w:cs="Courier New"/>
        </w:rPr>
        <w:t>.</w:t>
      </w:r>
    </w:p>
    <w:p w14:paraId="55A72BAA" w14:textId="77777777" w:rsidR="001104BD" w:rsidRPr="00AA5042" w:rsidRDefault="001104BD" w:rsidP="001104BD">
      <w:pPr>
        <w:pStyle w:val="NoSpacing"/>
        <w:rPr>
          <w:rFonts w:ascii="Courier New" w:hAnsi="Courier New" w:cs="Courier New"/>
        </w:rPr>
      </w:pPr>
    </w:p>
    <w:p w14:paraId="0942F78C" w14:textId="77777777" w:rsidR="001104BD" w:rsidRPr="00AA5042" w:rsidRDefault="001104BD" w:rsidP="001104BD">
      <w:pPr>
        <w:pStyle w:val="NoSpacing"/>
        <w:rPr>
          <w:rFonts w:ascii="Courier New" w:hAnsi="Courier New" w:cs="Courier New"/>
        </w:rPr>
      </w:pPr>
      <w:r w:rsidRPr="00AA5042">
        <w:rPr>
          <w:rFonts w:ascii="Courier New" w:hAnsi="Courier New" w:cs="Courier New"/>
        </w:rPr>
        <w:t xml:space="preserve">3. Create and set directory to Data\ </w:t>
      </w:r>
    </w:p>
    <w:p w14:paraId="691F60B7" w14:textId="77777777" w:rsidR="001104BD" w:rsidRPr="00AA5042" w:rsidRDefault="001104BD" w:rsidP="001104BD">
      <w:pPr>
        <w:pStyle w:val="NoSpacing"/>
        <w:rPr>
          <w:rFonts w:ascii="Courier New" w:hAnsi="Courier New" w:cs="Courier New"/>
        </w:rPr>
      </w:pPr>
    </w:p>
    <w:p w14:paraId="73CE48C9" w14:textId="044EEC43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AA5042">
        <w:rPr>
          <w:rFonts w:ascii="Courier New" w:hAnsi="Courier New" w:cs="Courier New"/>
        </w:rPr>
        <w:t xml:space="preserve">4. Place </w:t>
      </w:r>
      <w:r w:rsidR="00AA5042" w:rsidRPr="00AA5042">
        <w:rPr>
          <w:rFonts w:ascii="Courier New" w:hAnsi="Courier New" w:cs="Courier New"/>
        </w:rPr>
        <w:t xml:space="preserve">raw data in </w:t>
      </w:r>
      <w:r w:rsidRPr="00AA5042">
        <w:rPr>
          <w:rFonts w:ascii="Courier New" w:hAnsi="Courier New" w:cs="Courier New"/>
        </w:rPr>
        <w:t>the Data\ folder.</w:t>
      </w:r>
    </w:p>
    <w:p w14:paraId="4BCB2DF8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</w:p>
    <w:p w14:paraId="4CAF731C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All output files will be contained in folder Data\</w:t>
      </w:r>
    </w:p>
    <w:p w14:paraId="01DFE838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Note: Program files include line-by-line documentation. Please contact the authors with any questions.</w:t>
      </w:r>
    </w:p>
    <w:p w14:paraId="736E8049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+++++++++++++++++++++++++++++++++++</w:t>
      </w:r>
    </w:p>
    <w:p w14:paraId="713C7308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</w:p>
    <w:p w14:paraId="3715FB02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</w:p>
    <w:p w14:paraId="614B545D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+++++++++++++++++++++++++++++++++++</w:t>
      </w:r>
    </w:p>
    <w:p w14:paraId="21F06F6B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Program Key:</w:t>
      </w:r>
    </w:p>
    <w:p w14:paraId="1FEF2A79" w14:textId="77777777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>;-;Programs for Data Construction;-;</w:t>
      </w:r>
    </w:p>
    <w:p w14:paraId="6E97D578" w14:textId="77777777" w:rsidR="00AA5042" w:rsidRDefault="00AA5042" w:rsidP="001104BD">
      <w:pPr>
        <w:pStyle w:val="NoSpacing"/>
        <w:rPr>
          <w:rFonts w:ascii="Courier New" w:hAnsi="Courier New" w:cs="Courier New"/>
        </w:rPr>
      </w:pPr>
    </w:p>
    <w:p w14:paraId="353D2C30" w14:textId="0E78067A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 xml:space="preserve">1. </w:t>
      </w:r>
      <w:r w:rsidR="00AA5042">
        <w:rPr>
          <w:rFonts w:ascii="Courier New" w:hAnsi="Courier New" w:cs="Courier New"/>
        </w:rPr>
        <w:t>politicaluncertainty</w:t>
      </w:r>
      <w:r w:rsidR="00AA5042" w:rsidRPr="001104BD">
        <w:rPr>
          <w:rFonts w:ascii="Courier New" w:hAnsi="Courier New" w:cs="Courier New"/>
        </w:rPr>
        <w:t>_</w:t>
      </w:r>
      <w:r w:rsidR="00E24A97">
        <w:rPr>
          <w:rFonts w:ascii="Courier New" w:hAnsi="Courier New" w:cs="Courier New"/>
        </w:rPr>
        <w:t>data</w:t>
      </w:r>
      <w:r w:rsidR="00AA5042">
        <w:rPr>
          <w:rFonts w:ascii="Courier New" w:hAnsi="Courier New" w:cs="Courier New"/>
        </w:rPr>
        <w:t>construction</w:t>
      </w:r>
    </w:p>
    <w:p w14:paraId="06D50B2D" w14:textId="4D0DFD38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ab/>
        <w:t xml:space="preserve">produces </w:t>
      </w:r>
      <w:r w:rsidR="00AA5042">
        <w:rPr>
          <w:rFonts w:ascii="Courier New" w:hAnsi="Courier New" w:cs="Courier New"/>
        </w:rPr>
        <w:t xml:space="preserve">estimation </w:t>
      </w:r>
      <w:r w:rsidRPr="001104BD">
        <w:rPr>
          <w:rFonts w:ascii="Courier New" w:hAnsi="Courier New" w:cs="Courier New"/>
        </w:rPr>
        <w:t xml:space="preserve">data </w:t>
      </w:r>
      <w:r w:rsidR="00AA5042">
        <w:rPr>
          <w:rFonts w:ascii="Courier New" w:hAnsi="Courier New" w:cs="Courier New"/>
        </w:rPr>
        <w:t>for figures and tables in the paper</w:t>
      </w:r>
    </w:p>
    <w:p w14:paraId="2EC43342" w14:textId="77777777" w:rsidR="00AA5042" w:rsidRDefault="00AA5042" w:rsidP="001104BD">
      <w:pPr>
        <w:pStyle w:val="NoSpacing"/>
        <w:rPr>
          <w:rFonts w:ascii="Courier New" w:hAnsi="Courier New" w:cs="Courier New"/>
        </w:rPr>
      </w:pPr>
    </w:p>
    <w:p w14:paraId="467DA80F" w14:textId="4EAC62A0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 xml:space="preserve">2. </w:t>
      </w:r>
      <w:r w:rsidR="00AA5042">
        <w:rPr>
          <w:rFonts w:ascii="Courier New" w:hAnsi="Courier New" w:cs="Courier New"/>
        </w:rPr>
        <w:t>politicaluncertainty</w:t>
      </w:r>
      <w:r w:rsidR="00AA5042" w:rsidRPr="001104BD">
        <w:rPr>
          <w:rFonts w:ascii="Courier New" w:hAnsi="Courier New" w:cs="Courier New"/>
        </w:rPr>
        <w:t>_</w:t>
      </w:r>
      <w:r w:rsidR="00AA5042">
        <w:rPr>
          <w:rFonts w:ascii="Courier New" w:hAnsi="Courier New" w:cs="Courier New"/>
        </w:rPr>
        <w:t>exhibits</w:t>
      </w:r>
    </w:p>
    <w:p w14:paraId="5DA533CB" w14:textId="49F675EB" w:rsidR="001104BD" w:rsidRPr="001104BD" w:rsidRDefault="001104BD" w:rsidP="001104BD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tab/>
        <w:t xml:space="preserve">produces </w:t>
      </w:r>
      <w:r w:rsidR="00AA5042">
        <w:rPr>
          <w:rFonts w:ascii="Courier New" w:hAnsi="Courier New" w:cs="Courier New"/>
        </w:rPr>
        <w:t>estimation output; i.e., figures and tables in the paper</w:t>
      </w:r>
    </w:p>
    <w:p w14:paraId="677E7BC6" w14:textId="76FCDD9A" w:rsidR="003F4495" w:rsidRDefault="001104BD" w:rsidP="00AA5042">
      <w:pPr>
        <w:pStyle w:val="NoSpacing"/>
        <w:rPr>
          <w:rFonts w:ascii="LM Roman 10" w:hAnsi="LM Roman 10"/>
        </w:rPr>
      </w:pPr>
      <w:r w:rsidRPr="001104BD">
        <w:rPr>
          <w:rFonts w:ascii="Courier New" w:hAnsi="Courier New" w:cs="Courier New"/>
        </w:rPr>
        <w:t>+++++++++++++++++++++++++++++++++++</w:t>
      </w:r>
    </w:p>
    <w:p w14:paraId="525C2550" w14:textId="77777777" w:rsidR="00753EB8" w:rsidRDefault="00753EB8">
      <w:pPr>
        <w:rPr>
          <w:rFonts w:ascii="LM Roman 10" w:hAnsi="LM Roman 10"/>
        </w:rPr>
        <w:sectPr w:rsidR="00753EB8" w:rsidSect="006D3D0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FD46C58" w14:textId="77777777" w:rsidR="006D3D0C" w:rsidRPr="001104BD" w:rsidRDefault="006D3D0C" w:rsidP="006D3D0C">
      <w:pPr>
        <w:pStyle w:val="NoSpacing"/>
        <w:rPr>
          <w:rFonts w:ascii="Courier New" w:hAnsi="Courier New" w:cs="Courier New"/>
        </w:rPr>
      </w:pPr>
      <w:r w:rsidRPr="001104BD">
        <w:rPr>
          <w:rFonts w:ascii="Courier New" w:hAnsi="Courier New" w:cs="Courier New"/>
        </w:rPr>
        <w:lastRenderedPageBreak/>
        <w:t>+++++++++++++++++++++++++++++++++++</w:t>
      </w:r>
    </w:p>
    <w:p w14:paraId="2B628C1C" w14:textId="3647AB9C" w:rsidR="003F4495" w:rsidRDefault="006D3D0C" w:rsidP="003F4495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Data Appendix: </w:t>
      </w:r>
    </w:p>
    <w:p w14:paraId="56F84536" w14:textId="77777777" w:rsidR="006D3D0C" w:rsidRPr="003F4495" w:rsidRDefault="006D3D0C" w:rsidP="003F4495">
      <w:pPr>
        <w:pStyle w:val="NoSpacing"/>
        <w:rPr>
          <w:rFonts w:ascii="Courier New" w:hAnsi="Courier New" w:cs="Courier New"/>
        </w:rPr>
      </w:pPr>
    </w:p>
    <w:tbl>
      <w:tblPr>
        <w:tblStyle w:val="TableGrid"/>
        <w:tblW w:w="9148" w:type="dxa"/>
        <w:tblLook w:val="04A0" w:firstRow="1" w:lastRow="0" w:firstColumn="1" w:lastColumn="0" w:noHBand="0" w:noVBand="1"/>
      </w:tblPr>
      <w:tblGrid>
        <w:gridCol w:w="2592"/>
        <w:gridCol w:w="3168"/>
        <w:gridCol w:w="3388"/>
      </w:tblGrid>
      <w:tr w:rsidR="00CA15B9" w:rsidRPr="006D3D0C" w14:paraId="17BBAE20" w14:textId="7EDAF932" w:rsidTr="00CA15B9">
        <w:tc>
          <w:tcPr>
            <w:tcW w:w="2592" w:type="dxa"/>
            <w:tcBorders>
              <w:top w:val="double" w:sz="4" w:space="0" w:color="auto"/>
              <w:left w:val="nil"/>
            </w:tcBorders>
          </w:tcPr>
          <w:p w14:paraId="4B6B27F9" w14:textId="58C7D943" w:rsidR="006D3D0C" w:rsidRPr="00CA15B9" w:rsidRDefault="006D3D0C" w:rsidP="001104BD">
            <w:pPr>
              <w:rPr>
                <w:rFonts w:ascii="LM Roman 10" w:hAnsi="LM Roman 10"/>
                <w:b/>
                <w:bCs/>
              </w:rPr>
            </w:pPr>
            <w:r w:rsidRPr="00CA15B9">
              <w:rPr>
                <w:rFonts w:ascii="LM Roman 10" w:hAnsi="LM Roman 10"/>
                <w:b/>
                <w:bCs/>
              </w:rPr>
              <w:t>Source</w:t>
            </w:r>
          </w:p>
        </w:tc>
        <w:tc>
          <w:tcPr>
            <w:tcW w:w="3168" w:type="dxa"/>
            <w:tcBorders>
              <w:top w:val="double" w:sz="4" w:space="0" w:color="auto"/>
            </w:tcBorders>
          </w:tcPr>
          <w:p w14:paraId="68E94CAD" w14:textId="7F4BB91C" w:rsidR="006D3D0C" w:rsidRPr="00CA15B9" w:rsidRDefault="006D3D0C" w:rsidP="001104BD">
            <w:pPr>
              <w:rPr>
                <w:rFonts w:ascii="LM Roman 10" w:hAnsi="LM Roman 10"/>
                <w:b/>
                <w:bCs/>
              </w:rPr>
            </w:pPr>
            <w:r w:rsidRPr="00CA15B9">
              <w:rPr>
                <w:rFonts w:ascii="LM Roman 10" w:hAnsi="LM Roman 10"/>
                <w:b/>
                <w:bCs/>
              </w:rPr>
              <w:t>Data</w:t>
            </w:r>
          </w:p>
        </w:tc>
        <w:tc>
          <w:tcPr>
            <w:tcW w:w="3388" w:type="dxa"/>
            <w:tcBorders>
              <w:top w:val="double" w:sz="4" w:space="0" w:color="auto"/>
              <w:right w:val="nil"/>
            </w:tcBorders>
          </w:tcPr>
          <w:p w14:paraId="592F8527" w14:textId="47891D06" w:rsidR="006D3D0C" w:rsidRPr="00CA15B9" w:rsidRDefault="006D3D0C" w:rsidP="001104BD">
            <w:pPr>
              <w:rPr>
                <w:rFonts w:ascii="LM Roman 10" w:hAnsi="LM Roman 10"/>
                <w:b/>
                <w:bCs/>
              </w:rPr>
            </w:pPr>
            <w:r w:rsidRPr="00CA15B9">
              <w:rPr>
                <w:rFonts w:ascii="LM Roman 10" w:hAnsi="LM Roman 10"/>
                <w:b/>
                <w:bCs/>
              </w:rPr>
              <w:t>Link</w:t>
            </w:r>
          </w:p>
        </w:tc>
      </w:tr>
      <w:tr w:rsidR="00CA15B9" w:rsidRPr="006D3D0C" w14:paraId="0DFD44BC" w14:textId="06C9B17C" w:rsidTr="00CA15B9">
        <w:tc>
          <w:tcPr>
            <w:tcW w:w="2592" w:type="dxa"/>
            <w:tcBorders>
              <w:left w:val="nil"/>
            </w:tcBorders>
          </w:tcPr>
          <w:p w14:paraId="29799E21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 xml:space="preserve">Compustat – Fundamentals Quarterly (WRDS) </w:t>
            </w:r>
          </w:p>
          <w:p w14:paraId="1613CAE8" w14:textId="529B4381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168" w:type="dxa"/>
          </w:tcPr>
          <w:p w14:paraId="105BF27D" w14:textId="52A99E4C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Quarterly financial statement data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</w:tc>
        <w:tc>
          <w:tcPr>
            <w:tcW w:w="3388" w:type="dxa"/>
            <w:tcBorders>
              <w:right w:val="nil"/>
            </w:tcBorders>
          </w:tcPr>
          <w:p w14:paraId="32724E79" w14:textId="345B2295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5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WRDS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CA15B9" w:rsidRPr="006D3D0C" w14:paraId="74946E0E" w14:textId="670B9245" w:rsidTr="00CA15B9">
        <w:tc>
          <w:tcPr>
            <w:tcW w:w="2592" w:type="dxa"/>
            <w:tcBorders>
              <w:left w:val="nil"/>
            </w:tcBorders>
          </w:tcPr>
          <w:p w14:paraId="50EB438F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CRSP Monthly Stock Market Indexes (WRDS)</w:t>
            </w:r>
          </w:p>
          <w:p w14:paraId="48429F29" w14:textId="39B431E7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168" w:type="dxa"/>
          </w:tcPr>
          <w:p w14:paraId="3EE0D0F2" w14:textId="5DCB1320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Value-weighted market return, including distributions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</w:tc>
        <w:tc>
          <w:tcPr>
            <w:tcW w:w="3388" w:type="dxa"/>
            <w:tcBorders>
              <w:right w:val="nil"/>
            </w:tcBorders>
          </w:tcPr>
          <w:p w14:paraId="51BCA0B7" w14:textId="6E62E78E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6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WRDS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CA15B9" w:rsidRPr="006D3D0C" w14:paraId="24034569" w14:textId="475BFF45" w:rsidTr="00CA15B9">
        <w:tc>
          <w:tcPr>
            <w:tcW w:w="2592" w:type="dxa"/>
            <w:tcBorders>
              <w:left w:val="nil"/>
            </w:tcBorders>
          </w:tcPr>
          <w:p w14:paraId="42A824F2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CRSP U.S. Daily Event Study (WRDS)</w:t>
            </w:r>
          </w:p>
          <w:p w14:paraId="7D4F12F5" w14:textId="6C8B9A37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168" w:type="dxa"/>
          </w:tcPr>
          <w:p w14:paraId="5D973537" w14:textId="45836BCB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Three-day cumulative returns around SEC Form 8-K filings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</w:tc>
        <w:tc>
          <w:tcPr>
            <w:tcW w:w="3388" w:type="dxa"/>
            <w:tcBorders>
              <w:right w:val="nil"/>
            </w:tcBorders>
          </w:tcPr>
          <w:p w14:paraId="0CE174B2" w14:textId="6124457C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7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WRDS</w:t>
              </w:r>
            </w:hyperlink>
          </w:p>
        </w:tc>
      </w:tr>
      <w:tr w:rsidR="00CA15B9" w:rsidRPr="006D3D0C" w14:paraId="550A6881" w14:textId="19B8603F" w:rsidTr="00CA15B9">
        <w:tc>
          <w:tcPr>
            <w:tcW w:w="2592" w:type="dxa"/>
            <w:tcBorders>
              <w:left w:val="nil"/>
            </w:tcBorders>
          </w:tcPr>
          <w:p w14:paraId="1846E90D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Software Repository for Accounting and Finance (Loughran-McDonald)</w:t>
            </w:r>
          </w:p>
          <w:p w14:paraId="0EB7346E" w14:textId="479E2038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168" w:type="dxa"/>
          </w:tcPr>
          <w:p w14:paraId="25631DEE" w14:textId="5A9C9EC2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Augmented 10-X Header Data, 1994-2017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</w:tc>
        <w:tc>
          <w:tcPr>
            <w:tcW w:w="3388" w:type="dxa"/>
            <w:tcBorders>
              <w:right w:val="nil"/>
            </w:tcBorders>
          </w:tcPr>
          <w:p w14:paraId="667FEF40" w14:textId="395880B3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8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https://sraf.nd.edu/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CA15B9" w:rsidRPr="006D3D0C" w14:paraId="27566EAF" w14:textId="2CF02C26" w:rsidTr="00CA15B9">
        <w:tc>
          <w:tcPr>
            <w:tcW w:w="2592" w:type="dxa"/>
            <w:tcBorders>
              <w:left w:val="nil"/>
            </w:tcBorders>
          </w:tcPr>
          <w:p w14:paraId="5D74ACEC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SEC Form 8-K Filings, EDGAR</w:t>
            </w:r>
          </w:p>
          <w:p w14:paraId="7AD403CE" w14:textId="73674FFE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168" w:type="dxa"/>
          </w:tcPr>
          <w:p w14:paraId="32A2E6E7" w14:textId="61B0E70C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Term frequencies for library of risk words and U.S. states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</w:tc>
        <w:tc>
          <w:tcPr>
            <w:tcW w:w="3388" w:type="dxa"/>
            <w:tcBorders>
              <w:right w:val="nil"/>
            </w:tcBorders>
          </w:tcPr>
          <w:p w14:paraId="2E810981" w14:textId="26889EE4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Available on JAR repository</w:t>
            </w:r>
          </w:p>
        </w:tc>
      </w:tr>
      <w:tr w:rsidR="00CA15B9" w:rsidRPr="006D3D0C" w14:paraId="4AA4D532" w14:textId="1A488805" w:rsidTr="00CA15B9">
        <w:tc>
          <w:tcPr>
            <w:tcW w:w="2592" w:type="dxa"/>
            <w:tcBorders>
              <w:left w:val="nil"/>
            </w:tcBorders>
          </w:tcPr>
          <w:p w14:paraId="7DF27594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Wikipedia and various cited sources</w:t>
            </w:r>
          </w:p>
          <w:p w14:paraId="7ADDD2ED" w14:textId="4F6C046C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168" w:type="dxa"/>
          </w:tcPr>
          <w:p w14:paraId="2AF1BFEA" w14:textId="5A7F5370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Gubernatorial election polling data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</w:tc>
        <w:tc>
          <w:tcPr>
            <w:tcW w:w="3388" w:type="dxa"/>
            <w:tcBorders>
              <w:right w:val="nil"/>
            </w:tcBorders>
          </w:tcPr>
          <w:p w14:paraId="175C4A8E" w14:textId="1C3D2122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Available on JAR repository</w:t>
            </w:r>
          </w:p>
        </w:tc>
      </w:tr>
      <w:tr w:rsidR="00CA15B9" w:rsidRPr="006D3D0C" w14:paraId="284052CB" w14:textId="158A1C5E" w:rsidTr="00CA15B9">
        <w:tc>
          <w:tcPr>
            <w:tcW w:w="2592" w:type="dxa"/>
            <w:tcBorders>
              <w:left w:val="nil"/>
            </w:tcBorders>
          </w:tcPr>
          <w:p w14:paraId="57E5E304" w14:textId="26A2F1BD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NAICS-SIC Concordance</w:t>
            </w:r>
          </w:p>
        </w:tc>
        <w:tc>
          <w:tcPr>
            <w:tcW w:w="3168" w:type="dxa"/>
          </w:tcPr>
          <w:p w14:paraId="7C145850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Crosswalk for pair of industry classifications (NAICS; SIC)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  <w:p w14:paraId="2942EBA4" w14:textId="601AB811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388" w:type="dxa"/>
            <w:tcBorders>
              <w:right w:val="nil"/>
            </w:tcBorders>
          </w:tcPr>
          <w:p w14:paraId="0756CE98" w14:textId="1360F549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9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NAICS-to-SIC-crosswalk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CA15B9" w:rsidRPr="006D3D0C" w14:paraId="0E1315D1" w14:textId="35DC9E3E" w:rsidTr="00CA15B9">
        <w:tc>
          <w:tcPr>
            <w:tcW w:w="2592" w:type="dxa"/>
            <w:tcBorders>
              <w:left w:val="nil"/>
            </w:tcBorders>
          </w:tcPr>
          <w:p w14:paraId="4C5CEBFB" w14:textId="6D4B6F21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Economic Policy Uncertainty</w:t>
            </w:r>
          </w:p>
        </w:tc>
        <w:tc>
          <w:tcPr>
            <w:tcW w:w="3168" w:type="dxa"/>
          </w:tcPr>
          <w:p w14:paraId="037E62DE" w14:textId="21C39F26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Firm-level political risk measures constructed from earnings conference call data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  <w:p w14:paraId="79E73340" w14:textId="5A3D35E6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</w:p>
          <w:p w14:paraId="79498D4C" w14:textId="68B6A280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>
              <w:rPr>
                <w:rFonts w:ascii="LM Roman 10" w:hAnsi="LM Roman 10"/>
                <w:sz w:val="18"/>
                <w:szCs w:val="18"/>
              </w:rPr>
              <w:t>T</w:t>
            </w:r>
            <w:r w:rsidRPr="006D3D0C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arek A. Hassan, Stephan Hollander, Laurence van Lent, Ahmed Tahoun, 2019. </w:t>
            </w:r>
            <w:r w:rsidR="00512066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>“</w:t>
            </w:r>
            <w:r w:rsidRPr="006D3D0C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>Firm-Level Political Risk: Measurement and Effects,</w:t>
            </w:r>
            <w:r w:rsidR="00512066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>”</w:t>
            </w:r>
            <w:r w:rsidRPr="006D3D0C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512066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>Q</w:t>
            </w:r>
            <w:r w:rsidRPr="006D3D0C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>uarterly Journal of Economics</w:t>
            </w:r>
            <w:r w:rsidR="00512066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134, 2135-2202</w:t>
            </w:r>
            <w:r w:rsidRPr="006D3D0C">
              <w:rPr>
                <w:rFonts w:ascii="LM Roman 10" w:hAnsi="LM Roman 10" w:cs="Arial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  <w:p w14:paraId="23D5E90E" w14:textId="22A39DBD" w:rsidR="006D3D0C" w:rsidRPr="00CA15B9" w:rsidRDefault="006D3D0C" w:rsidP="00CA15B9">
            <w:pPr>
              <w:rPr>
                <w:rFonts w:ascii="LM Roman 10" w:hAnsi="LM Roman 10"/>
                <w:b/>
                <w:bCs/>
                <w:sz w:val="8"/>
                <w:szCs w:val="8"/>
              </w:rPr>
            </w:pPr>
          </w:p>
        </w:tc>
        <w:tc>
          <w:tcPr>
            <w:tcW w:w="3388" w:type="dxa"/>
            <w:tcBorders>
              <w:right w:val="nil"/>
            </w:tcBorders>
          </w:tcPr>
          <w:p w14:paraId="605A9500" w14:textId="5E33A0EC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10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EconomicPolicyUncertainty-Firm_PR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CA15B9" w:rsidRPr="006D3D0C" w14:paraId="457251D3" w14:textId="44739076" w:rsidTr="00CA15B9">
        <w:tc>
          <w:tcPr>
            <w:tcW w:w="2592" w:type="dxa"/>
            <w:tcBorders>
              <w:left w:val="nil"/>
            </w:tcBorders>
          </w:tcPr>
          <w:p w14:paraId="014E7611" w14:textId="42528CA9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 xml:space="preserve">Economic Policy Uncertainty </w:t>
            </w:r>
          </w:p>
        </w:tc>
        <w:tc>
          <w:tcPr>
            <w:tcW w:w="3168" w:type="dxa"/>
          </w:tcPr>
          <w:p w14:paraId="1F0F8347" w14:textId="68BD267B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Global economic policy uncertainty index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  <w:p w14:paraId="0148F1BD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</w:p>
          <w:p w14:paraId="3F0961B6" w14:textId="77777777" w:rsidR="006D3D0C" w:rsidRDefault="006D3D0C" w:rsidP="00CA15B9">
            <w:pPr>
              <w:rPr>
                <w:rFonts w:ascii="LM Roman 10" w:eastAsia="Times New Roman" w:hAnsi="LM Roman 10" w:cs="Arial"/>
                <w:color w:val="000000" w:themeColor="text1"/>
                <w:sz w:val="18"/>
                <w:szCs w:val="18"/>
              </w:rPr>
            </w:pPr>
            <w:r>
              <w:rPr>
                <w:rFonts w:ascii="LM Roman 10" w:hAnsi="LM Roman 10"/>
                <w:sz w:val="18"/>
                <w:szCs w:val="18"/>
              </w:rPr>
              <w:t>D</w:t>
            </w:r>
            <w:r w:rsidRPr="001B10B3">
              <w:rPr>
                <w:rFonts w:ascii="LM Roman 10" w:eastAsia="Times New Roman" w:hAnsi="LM Roman 10" w:cs="Arial"/>
                <w:color w:val="000000" w:themeColor="text1"/>
                <w:sz w:val="18"/>
                <w:szCs w:val="18"/>
              </w:rPr>
              <w:t>avis, S. J., 2016. "An Index of Global Economic Policy Uncertainty." Macroeconomic Review, October.</w:t>
            </w:r>
          </w:p>
          <w:p w14:paraId="3A14285E" w14:textId="338CE3BC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388" w:type="dxa"/>
            <w:tcBorders>
              <w:right w:val="nil"/>
            </w:tcBorders>
          </w:tcPr>
          <w:p w14:paraId="325D6ED9" w14:textId="19305711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11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EconomicPolicyUncertainty-GlobalEPU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CA15B9" w:rsidRPr="006D3D0C" w14:paraId="18B728D8" w14:textId="7FA35097" w:rsidTr="00CA15B9">
        <w:tc>
          <w:tcPr>
            <w:tcW w:w="2592" w:type="dxa"/>
            <w:tcBorders>
              <w:left w:val="nil"/>
            </w:tcBorders>
          </w:tcPr>
          <w:p w14:paraId="625CAB3F" w14:textId="541021FF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National Conference of State Legislatures</w:t>
            </w:r>
          </w:p>
        </w:tc>
        <w:tc>
          <w:tcPr>
            <w:tcW w:w="3168" w:type="dxa"/>
          </w:tcPr>
          <w:p w14:paraId="391C405F" w14:textId="77777777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Partisan composition of state legislatures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  <w:p w14:paraId="1822798A" w14:textId="65F668B8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388" w:type="dxa"/>
            <w:tcBorders>
              <w:right w:val="nil"/>
            </w:tcBorders>
          </w:tcPr>
          <w:p w14:paraId="7D9D5AF3" w14:textId="6FBAAC1C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12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NCSL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CA15B9" w:rsidRPr="006D3D0C" w14:paraId="15FE261B" w14:textId="77777777" w:rsidTr="00CA15B9">
        <w:tc>
          <w:tcPr>
            <w:tcW w:w="2592" w:type="dxa"/>
            <w:tcBorders>
              <w:left w:val="nil"/>
            </w:tcBorders>
          </w:tcPr>
          <w:p w14:paraId="39C5A268" w14:textId="0C04F4E7" w:rsidR="006D3D0C" w:rsidRP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Bureau of Economic Analysis</w:t>
            </w:r>
          </w:p>
        </w:tc>
        <w:tc>
          <w:tcPr>
            <w:tcW w:w="3168" w:type="dxa"/>
          </w:tcPr>
          <w:p w14:paraId="6C58A438" w14:textId="57814BF8" w:rsidR="006D3D0C" w:rsidRDefault="006D3D0C" w:rsidP="00CA15B9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 xml:space="preserve">Domestic </w:t>
            </w:r>
            <w:r w:rsidR="00A860ED">
              <w:rPr>
                <w:rFonts w:ascii="LM Roman 10" w:hAnsi="LM Roman 10"/>
                <w:sz w:val="18"/>
                <w:szCs w:val="18"/>
              </w:rPr>
              <w:t>2002 Benchmark I</w:t>
            </w:r>
            <w:r w:rsidRPr="006D3D0C">
              <w:rPr>
                <w:rFonts w:ascii="LM Roman 10" w:hAnsi="LM Roman 10"/>
                <w:sz w:val="18"/>
                <w:szCs w:val="18"/>
              </w:rPr>
              <w:t>nput-</w:t>
            </w:r>
            <w:r w:rsidR="00A860ED">
              <w:rPr>
                <w:rFonts w:ascii="LM Roman 10" w:hAnsi="LM Roman 10"/>
                <w:sz w:val="18"/>
                <w:szCs w:val="18"/>
              </w:rPr>
              <w:t>O</w:t>
            </w:r>
            <w:r w:rsidRPr="006D3D0C">
              <w:rPr>
                <w:rFonts w:ascii="LM Roman 10" w:hAnsi="LM Roman 10"/>
                <w:sz w:val="18"/>
                <w:szCs w:val="18"/>
              </w:rPr>
              <w:t xml:space="preserve">utput </w:t>
            </w:r>
            <w:r w:rsidR="00A860ED">
              <w:rPr>
                <w:rFonts w:ascii="LM Roman 10" w:hAnsi="LM Roman 10"/>
                <w:sz w:val="18"/>
                <w:szCs w:val="18"/>
              </w:rPr>
              <w:t>Summary Make and Use Tables</w:t>
            </w:r>
            <w:r w:rsidR="00CA15B9">
              <w:rPr>
                <w:rFonts w:ascii="LM Roman 10" w:hAnsi="LM Roman 10"/>
                <w:sz w:val="18"/>
                <w:szCs w:val="18"/>
              </w:rPr>
              <w:t>.</w:t>
            </w:r>
          </w:p>
          <w:p w14:paraId="6DF43EAE" w14:textId="0BDE5B13" w:rsidR="00CA15B9" w:rsidRPr="00CA15B9" w:rsidRDefault="00CA15B9" w:rsidP="00CA15B9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388" w:type="dxa"/>
            <w:tcBorders>
              <w:right w:val="nil"/>
            </w:tcBorders>
          </w:tcPr>
          <w:p w14:paraId="4E157D51" w14:textId="0D83E001" w:rsidR="006D3D0C" w:rsidRPr="006D3D0C" w:rsidRDefault="00000000" w:rsidP="00CA15B9">
            <w:pPr>
              <w:rPr>
                <w:rFonts w:ascii="LM Roman 10" w:hAnsi="LM Roman 10"/>
                <w:sz w:val="18"/>
                <w:szCs w:val="18"/>
              </w:rPr>
            </w:pPr>
            <w:hyperlink r:id="rId13" w:history="1">
              <w:r w:rsidR="006D3D0C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BEA-I-O-Tables</w:t>
              </w:r>
            </w:hyperlink>
            <w:r w:rsidR="006D3D0C" w:rsidRPr="006D3D0C">
              <w:rPr>
                <w:rFonts w:ascii="LM Roman 10" w:hAnsi="LM Roman 10"/>
                <w:sz w:val="18"/>
                <w:szCs w:val="18"/>
              </w:rPr>
              <w:t xml:space="preserve"> </w:t>
            </w:r>
          </w:p>
        </w:tc>
      </w:tr>
      <w:tr w:rsidR="00A860ED" w:rsidRPr="006D3D0C" w14:paraId="3F1AE31E" w14:textId="77777777" w:rsidTr="00CA15B9">
        <w:tc>
          <w:tcPr>
            <w:tcW w:w="2592" w:type="dxa"/>
            <w:tcBorders>
              <w:left w:val="nil"/>
              <w:bottom w:val="double" w:sz="4" w:space="0" w:color="auto"/>
            </w:tcBorders>
          </w:tcPr>
          <w:p w14:paraId="4BFB1302" w14:textId="77777777" w:rsidR="00A860ED" w:rsidRDefault="00A860ED" w:rsidP="00A860ED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Cboe</w:t>
            </w:r>
          </w:p>
          <w:p w14:paraId="745EEC99" w14:textId="77777777" w:rsidR="00A860ED" w:rsidRPr="006D3D0C" w:rsidRDefault="00A860ED" w:rsidP="00A860ED">
            <w:pPr>
              <w:rPr>
                <w:rFonts w:ascii="LM Roman 10" w:hAnsi="LM Roman 10"/>
                <w:sz w:val="18"/>
                <w:szCs w:val="18"/>
              </w:rPr>
            </w:pPr>
          </w:p>
        </w:tc>
        <w:tc>
          <w:tcPr>
            <w:tcW w:w="3168" w:type="dxa"/>
            <w:tcBorders>
              <w:bottom w:val="double" w:sz="4" w:space="0" w:color="auto"/>
            </w:tcBorders>
          </w:tcPr>
          <w:p w14:paraId="7A1521A5" w14:textId="77777777" w:rsidR="00A860ED" w:rsidRDefault="00A860ED" w:rsidP="00A860ED">
            <w:pPr>
              <w:rPr>
                <w:rFonts w:ascii="LM Roman 10" w:hAnsi="LM Roman 10"/>
                <w:sz w:val="18"/>
                <w:szCs w:val="18"/>
              </w:rPr>
            </w:pPr>
            <w:r w:rsidRPr="006D3D0C">
              <w:rPr>
                <w:rFonts w:ascii="LM Roman 10" w:hAnsi="LM Roman 10"/>
                <w:sz w:val="18"/>
                <w:szCs w:val="18"/>
              </w:rPr>
              <w:t>Historical data for the VIX Index</w:t>
            </w:r>
            <w:r>
              <w:rPr>
                <w:rFonts w:ascii="LM Roman 10" w:hAnsi="LM Roman 10"/>
                <w:sz w:val="18"/>
                <w:szCs w:val="18"/>
              </w:rPr>
              <w:t>.</w:t>
            </w:r>
          </w:p>
          <w:p w14:paraId="78A79FBE" w14:textId="1FA0DAA7" w:rsidR="00A860ED" w:rsidRPr="00CA15B9" w:rsidRDefault="00A860ED" w:rsidP="00A860ED">
            <w:pPr>
              <w:rPr>
                <w:rFonts w:ascii="LM Roman 10" w:hAnsi="LM Roman 10"/>
                <w:sz w:val="8"/>
                <w:szCs w:val="8"/>
              </w:rPr>
            </w:pPr>
          </w:p>
        </w:tc>
        <w:tc>
          <w:tcPr>
            <w:tcW w:w="3388" w:type="dxa"/>
            <w:tcBorders>
              <w:bottom w:val="double" w:sz="4" w:space="0" w:color="auto"/>
              <w:right w:val="nil"/>
            </w:tcBorders>
          </w:tcPr>
          <w:p w14:paraId="51A82718" w14:textId="17B8A2B1" w:rsidR="00A860ED" w:rsidRPr="006D3D0C" w:rsidRDefault="00000000" w:rsidP="00A860ED">
            <w:pPr>
              <w:rPr>
                <w:rFonts w:ascii="LM Roman 10" w:hAnsi="LM Roman 10"/>
                <w:sz w:val="18"/>
                <w:szCs w:val="18"/>
              </w:rPr>
            </w:pPr>
            <w:hyperlink r:id="rId14" w:history="1">
              <w:r w:rsidR="00A860ED" w:rsidRPr="006D3D0C">
                <w:rPr>
                  <w:rStyle w:val="Hyperlink"/>
                  <w:rFonts w:ascii="LM Roman 10" w:hAnsi="LM Roman 10"/>
                  <w:sz w:val="18"/>
                  <w:szCs w:val="18"/>
                </w:rPr>
                <w:t>Cboe</w:t>
              </w:r>
            </w:hyperlink>
          </w:p>
        </w:tc>
      </w:tr>
    </w:tbl>
    <w:p w14:paraId="1F68F340" w14:textId="199C7D85" w:rsidR="006D3D0C" w:rsidRDefault="006D3D0C" w:rsidP="00A860ED">
      <w:pPr>
        <w:pStyle w:val="NoSpacing"/>
        <w:rPr>
          <w:rFonts w:ascii="LM Roman 10" w:hAnsi="LM Roman 10"/>
        </w:rPr>
      </w:pPr>
      <w:r w:rsidRPr="001104BD">
        <w:rPr>
          <w:rFonts w:ascii="Courier New" w:hAnsi="Courier New" w:cs="Courier New"/>
        </w:rPr>
        <w:t>+++++++++++++++++++++++++++++++++++</w:t>
      </w:r>
    </w:p>
    <w:sectPr w:rsidR="006D3D0C" w:rsidSect="006D3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mtt10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AE5"/>
    <w:multiLevelType w:val="hybridMultilevel"/>
    <w:tmpl w:val="7C623A2E"/>
    <w:lvl w:ilvl="0" w:tplc="7C3A4FC4">
      <w:start w:val="2"/>
      <w:numFmt w:val="bullet"/>
      <w:lvlText w:val="-"/>
      <w:lvlJc w:val="left"/>
      <w:pPr>
        <w:ind w:left="720" w:hanging="360"/>
      </w:pPr>
      <w:rPr>
        <w:rFonts w:ascii="LM Roman 10" w:eastAsiaTheme="minorHAnsi" w:hAnsi="LM Roman 10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14070"/>
    <w:multiLevelType w:val="hybridMultilevel"/>
    <w:tmpl w:val="5AA8635E"/>
    <w:lvl w:ilvl="0" w:tplc="647C42A6">
      <w:numFmt w:val="bullet"/>
      <w:lvlText w:val="-"/>
      <w:lvlJc w:val="left"/>
      <w:pPr>
        <w:ind w:left="643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44F70796"/>
    <w:multiLevelType w:val="multilevel"/>
    <w:tmpl w:val="7A8CE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7C1402"/>
    <w:multiLevelType w:val="hybridMultilevel"/>
    <w:tmpl w:val="4C663DAC"/>
    <w:lvl w:ilvl="0" w:tplc="B6A0CDB6">
      <w:numFmt w:val="bullet"/>
      <w:lvlText w:val="-"/>
      <w:lvlJc w:val="left"/>
      <w:pPr>
        <w:ind w:left="720" w:hanging="360"/>
      </w:pPr>
      <w:rPr>
        <w:rFonts w:ascii="cmtt10" w:eastAsiaTheme="minorHAnsi" w:hAnsi="cmtt10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47E19"/>
    <w:multiLevelType w:val="hybridMultilevel"/>
    <w:tmpl w:val="B8260278"/>
    <w:lvl w:ilvl="0" w:tplc="4D44B642">
      <w:numFmt w:val="bullet"/>
      <w:lvlText w:val="-"/>
      <w:lvlJc w:val="left"/>
      <w:pPr>
        <w:ind w:left="288" w:hanging="144"/>
      </w:pPr>
      <w:rPr>
        <w:rFonts w:ascii="cmtt10" w:eastAsiaTheme="minorHAnsi" w:hAnsi="cmtt10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276920">
    <w:abstractNumId w:val="1"/>
  </w:num>
  <w:num w:numId="2" w16cid:durableId="1270314327">
    <w:abstractNumId w:val="3"/>
  </w:num>
  <w:num w:numId="3" w16cid:durableId="907612256">
    <w:abstractNumId w:val="4"/>
  </w:num>
  <w:num w:numId="4" w16cid:durableId="1119303681">
    <w:abstractNumId w:val="0"/>
  </w:num>
  <w:num w:numId="5" w16cid:durableId="419907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729"/>
    <w:rsid w:val="000733D5"/>
    <w:rsid w:val="0008395B"/>
    <w:rsid w:val="001104BD"/>
    <w:rsid w:val="00152BDF"/>
    <w:rsid w:val="001A3470"/>
    <w:rsid w:val="001B0E94"/>
    <w:rsid w:val="001B10B3"/>
    <w:rsid w:val="001E6EF8"/>
    <w:rsid w:val="00263610"/>
    <w:rsid w:val="00284A8A"/>
    <w:rsid w:val="002D7BA1"/>
    <w:rsid w:val="00344E20"/>
    <w:rsid w:val="003F4495"/>
    <w:rsid w:val="004927B8"/>
    <w:rsid w:val="004C4062"/>
    <w:rsid w:val="00512066"/>
    <w:rsid w:val="0055238A"/>
    <w:rsid w:val="006A3E21"/>
    <w:rsid w:val="006D3D0C"/>
    <w:rsid w:val="00753EB8"/>
    <w:rsid w:val="00843455"/>
    <w:rsid w:val="008762FF"/>
    <w:rsid w:val="00891FA0"/>
    <w:rsid w:val="008D50A3"/>
    <w:rsid w:val="009370CD"/>
    <w:rsid w:val="00974485"/>
    <w:rsid w:val="00A860ED"/>
    <w:rsid w:val="00AA5042"/>
    <w:rsid w:val="00CA15B9"/>
    <w:rsid w:val="00DB022E"/>
    <w:rsid w:val="00DB09EB"/>
    <w:rsid w:val="00DD7595"/>
    <w:rsid w:val="00E24A97"/>
    <w:rsid w:val="00E52DF3"/>
    <w:rsid w:val="00EC2729"/>
    <w:rsid w:val="00F81CCC"/>
    <w:rsid w:val="00F9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37ADF"/>
  <w15:chartTrackingRefBased/>
  <w15:docId w15:val="{D74ED659-2D72-42C3-B463-7C33603E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2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27B8"/>
    <w:pPr>
      <w:ind w:left="720"/>
      <w:contextualSpacing/>
    </w:pPr>
  </w:style>
  <w:style w:type="paragraph" w:styleId="NoSpacing">
    <w:name w:val="No Spacing"/>
    <w:uiPriority w:val="1"/>
    <w:qFormat/>
    <w:rsid w:val="001104B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50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50A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F4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4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4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4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af.nd.edu/" TargetMode="External"/><Relationship Id="rId13" Type="http://schemas.openxmlformats.org/officeDocument/2006/relationships/hyperlink" Target="https://www.bea.gov/industry/input-output-accounts-da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rds-www.wharton.upenn.edu/" TargetMode="External"/><Relationship Id="rId12" Type="http://schemas.openxmlformats.org/officeDocument/2006/relationships/hyperlink" Target="https://www.ncsl.or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rds-www.wharton.upenn.edu/" TargetMode="External"/><Relationship Id="rId11" Type="http://schemas.openxmlformats.org/officeDocument/2006/relationships/hyperlink" Target="https://www.policyuncertainty.com/global_monthly.html" TargetMode="External"/><Relationship Id="rId5" Type="http://schemas.openxmlformats.org/officeDocument/2006/relationships/hyperlink" Target="https://wrds-www.wharton.upenn.ed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policyuncertainty.com/firm_p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aics.com/naics-to-sic-crosswalk-2/" TargetMode="External"/><Relationship Id="rId14" Type="http://schemas.openxmlformats.org/officeDocument/2006/relationships/hyperlink" Target="https://www.cboe.com/tradable_products/vix/vix_historical_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skarolyi</dc:creator>
  <cp:keywords/>
  <dc:description/>
  <cp:lastModifiedBy>Stephen Karolyi</cp:lastModifiedBy>
  <cp:revision>4</cp:revision>
  <dcterms:created xsi:type="dcterms:W3CDTF">2022-09-02T15:52:00Z</dcterms:created>
  <dcterms:modified xsi:type="dcterms:W3CDTF">2022-10-18T21:14:00Z</dcterms:modified>
</cp:coreProperties>
</file>